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ORIGIN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404,261.00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404,261.00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404,261.00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404,261.00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404,261.00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404,261.00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0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BD, OO, IA</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ORIGIN MATERIALS,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930 Riverside Parkway, Suite 10, West Sacramento, X1, 95605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0"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111" w:right="53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100" w:firstLine="6"/>
        <w:spacing w:after="0" w:line="509" w:lineRule="auto"/>
        <w:tabs>
          <w:tab w:leader="none" w:pos="378"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100" w:firstLine="6"/>
        <w:spacing w:after="0" w:line="500"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67" w:orient="portrait"/>
          <w:cols w:equalWidth="0" w:num="2">
            <w:col w:w="620" w:space="300"/>
            <w:col w:w="10240"/>
          </w:cols>
          <w:pgMar w:left="360" w:top="355" w:right="37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Abhilasha Bareja</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04/24/2026</w:t>
      </w:r>
    </w:p>
    <w:p>
      <w:pPr>
        <w:spacing w:after="0" w:line="10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$0.0001 per share, of ORIGIN MATERIALS, INC. and further agree to the filing of this agreement as an Exhibit thereto. In addition, each party to this Agreement expressly authorizes each other party to this Agreement to file on its behalf any and all amendments to such Statement on Schedule 13G. Date:</w:t>
      </w:r>
    </w:p>
    <w:p>
      <w:pPr>
        <w:spacing w:after="0" w:line="231" w:lineRule="auto"/>
        <w:rPr>
          <w:sz w:val="20"/>
          <w:szCs w:val="20"/>
          <w:color w:val="auto"/>
        </w:rPr>
      </w:pPr>
      <w:r>
        <w:rPr>
          <w:rFonts w:ascii="Times New Roman" w:cs="Times New Roman" w:eastAsia="Times New Roman" w:hAnsi="Times New Roman"/>
          <w:sz w:val="22"/>
          <w:szCs w:val="22"/>
          <w:color w:val="auto"/>
        </w:rPr>
        <w:t>04/24/2026 THE GOLDMAN SACHS GROUP, INC. By:/s/ Abhilasha Bareja ---------------------------------------- 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Abhilasha Bareja Title: Attorney-in-fact GOLDMAN SACHS &amp; CO. LLC By:/s/ Abhilasha Bareja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Name: Abhilasha Bareja Title: Attorney-in-fact EXHIBIT (99.2) ITEM 7 INFORMATION The securities being reported</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1"/>
          <w:szCs w:val="21"/>
          <w:color w:val="auto"/>
        </w:rPr>
        <w:t>on by The Goldman Sachs Group, Inc. ("GS Group"), as a parent holding company, are owned, or may be deemed to be beneficially owned, by Goldman Sachs &amp; Co. LLC ("Goldman Sachs"), a broker or dealer registered under Section 15 of the Act</w:t>
      </w:r>
    </w:p>
    <w:p>
      <w:pPr>
        <w:sectPr>
          <w:pgSz w:w="11900" w:h="16867" w:orient="portrait"/>
          <w:cols w:equalWidth="0" w:num="1">
            <w:col w:w="11160"/>
          </w:cols>
          <w:pgMar w:left="360" w:top="355" w:right="379" w:bottom="0" w:gutter="0" w:footer="0" w:header="0"/>
          <w:type w:val="continuous"/>
        </w:sectPr>
      </w:pPr>
    </w:p>
    <w:bookmarkStart w:id="4" w:name="page5"/>
    <w:bookmarkEnd w:id="4"/>
    <w:p>
      <w:pPr>
        <w:spacing w:after="0" w:line="233" w:lineRule="auto"/>
        <w:rPr>
          <w:sz w:val="20"/>
          <w:szCs w:val="20"/>
          <w:color w:val="auto"/>
        </w:rPr>
      </w:pPr>
      <w:r>
        <w:rPr>
          <w:rFonts w:ascii="Times New Roman" w:cs="Times New Roman" w:eastAsia="Times New Roman" w:hAnsi="Times New Roman"/>
          <w:sz w:val="22"/>
          <w:szCs w:val="22"/>
          <w:color w:val="auto"/>
        </w:rPr>
        <w:t>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40"/>
          </w:cols>
          <w:pgMar w:left="360" w:top="112" w:right="3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2026-05-14T10:18:16Z</dcterms:created>
  <dcterms:modified xsi:type="dcterms:W3CDTF">2026-05-14T10:18:16Z</dcterms:modified>
</cp:coreProperties>
</file>