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868680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6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66" w:lineRule="exact"/>
        <w:rPr>
          <w:sz w:val="24"/>
          <w:szCs w:val="24"/>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Filed by a Party other than the Registrant</w:t>
      </w:r>
      <w:r>
        <w:rPr>
          <w:rFonts w:ascii="Wingdings" w:cs="Wingdings" w:eastAsia="Wingdings" w:hAnsi="Wingdings"/>
          <w:sz w:val="17"/>
          <w:szCs w:val="17"/>
          <w:b w:val="1"/>
          <w:bCs w:val="1"/>
          <w:color w:val="auto"/>
        </w:rPr>
        <w:t xml:space="preserve">  o</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2" w:lineRule="exact"/>
        <w:rPr>
          <w:rFonts w:ascii="Wingdings" w:cs="Wingdings" w:eastAsia="Wingdings" w:hAnsi="Wingdings"/>
          <w:sz w:val="18"/>
          <w:szCs w:val="18"/>
          <w:b w:val="1"/>
          <w:bCs w:val="1"/>
          <w:color w:val="auto"/>
        </w:rPr>
      </w:pPr>
    </w:p>
    <w:p>
      <w:pPr>
        <w:ind w:left="20" w:right="3499" w:firstLine="6"/>
        <w:spacing w:after="0" w:line="266" w:lineRule="auto"/>
        <w:tabs>
          <w:tab w:leader="none" w:pos="47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§240.14a-11(c) or §240.14a-2</w:t>
      </w:r>
    </w:p>
    <w:p>
      <w:pPr>
        <w:spacing w:after="0" w:line="32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31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Wingdings" w:cs="Wingdings" w:eastAsia="Wingdings" w:hAnsi="Wingdings"/>
          <w:sz w:val="18"/>
          <w:szCs w:val="18"/>
          <w:b w:val="1"/>
          <w:bCs w:val="1"/>
          <w:color w:val="auto"/>
        </w:rPr>
      </w:pPr>
    </w:p>
    <w:p>
      <w:pPr>
        <w:ind w:left="420" w:hanging="394"/>
        <w:spacing w:after="0" w:line="183" w:lineRule="auto"/>
        <w:tabs>
          <w:tab w:leader="none" w:pos="420" w:val="left"/>
        </w:tabs>
        <w:numPr>
          <w:ilvl w:val="0"/>
          <w:numId w:val="3"/>
        </w:numPr>
        <w:rPr>
          <w:rFonts w:ascii="Wingdings" w:cs="Wingdings" w:eastAsia="Wingdings" w:hAnsi="Wingdings"/>
          <w:sz w:val="35"/>
          <w:szCs w:val="35"/>
          <w:b w:val="1"/>
          <w:bCs w:val="1"/>
          <w:color w:val="auto"/>
          <w:vertAlign w:val="superscript"/>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Sacramento, California 95605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cordially invited to attend the Origin Materials, Inc. Special Meeting of Stockholders, or the Special Meeting. The meeting will be held virtually, via live webcast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on July 1, 2026, at 8:30 a.m. Pacific Time.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8:30 a.m., Pacific Time, on July 1, 2026 to ensure you are logged in when the Special Meeting starts.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will not be able to attend the Special Meeting in person.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meeting will be held for the following purposes, collectively referred to as the Proposals:</w:t>
      </w:r>
    </w:p>
    <w:p>
      <w:pPr>
        <w:spacing w:after="0" w:line="225" w:lineRule="exact"/>
        <w:rPr>
          <w:sz w:val="20"/>
          <w:szCs w:val="20"/>
          <w:color w:val="auto"/>
        </w:rPr>
      </w:pPr>
    </w:p>
    <w:p>
      <w:pPr>
        <w:jc w:val="both"/>
        <w:ind w:left="660" w:hanging="328"/>
        <w:spacing w:after="0" w:line="266" w:lineRule="auto"/>
        <w:tabs>
          <w:tab w:leader="none" w:pos="6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liquidation and dissolution of the Company, or the Dissolution, pursuant to the Plan of Complete Liquidation and Dissolution, or the Plan of Dissolution, which, if approved, will authorize the Company to liquidate and dissolve the Company in accordance with the Plan of Dissolution. This proposal is referred to as the “Dissolution Proposal.”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discretionary authority to our Board of Directors, or the Board of Directors, to adjourn the Special Meeting, even if a quorum is present, to solicit additional proxies in the event that there are insufficient shares present in person or by proxy voting in favor of the dissolution and liquidation of the Company pursuant to the Plan of Dissolution. This proposal is referred to as the “Adjournment Proposal.”</w:t>
      </w:r>
    </w:p>
    <w:p>
      <w:pPr>
        <w:spacing w:after="0" w:line="17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Special Meeting.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The record date for the Special Meeting is May 20, 2026. Only stockholders of record at the close of business on that date are entitled to notice of and may vote at the Special Meeting or any adjournment thereof.</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after considering the factors more fully described in the proxy statement, unanimously recommends, on behalf of Origin Materials, that you vote: (1) “FOR” the adoption of the Plan of Dissolution; and (2) “FOR” the Adjournment Proposal.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proxy statement provides detailed information about the Special Meeting, the Dissolution and the Proposals as well as the actions and determinations of the Board of Directors in connection with its evaluation of the Plan of Dissolution and the Dissolution. A copy of the Plan of Dissolution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the proxy statement. We urge you to read both the proxy statement and Plan of Dissolution carefully in their entirety as they contain important information about, among other things, the Dissolution and how it affects you.</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proxy statement also describes the actions and determinations of the Board of Directors in connection with its evaluation of the Plan of Dissolution and the Dissolution. You should carefully read and consider the entire proxy statement and its annex.</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Special Meeting virtually, please sign, date and return, as promptly as possible, the enclosed proxy card in the accompanying prepaid reply envelope or grant your proxy electronically over the Internet or by telephone (using the instructions provided in the enclosed proxy card). If you attend, and vote at, the Special Meeting, then your vote at the Special Meeting will revoke any proxy that you have previously submitted.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bank, broker or other nominee cannot vote on any of the proposals, including the proposal to approve the Plan of Dissolution, without your instructions.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 Penn Plaza, Suite 503</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5540" w:right="4540" w:hanging="993"/>
        <w:spacing w:after="0" w:line="250" w:lineRule="auto"/>
        <w:tabs>
          <w:tab w:leader="none" w:pos="49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I thank you for your support and appreciate your consideration of this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8552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Sacramento,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state securities commission has approved or disapproved of the Dissolution, passed upon the merits of the Dissolution or passed upon the adequacy or accuracy of the information contained in this proxy statement and any documents incorporated by reference. Any representation to the contrary is a criminal offense.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is dated May 26, 2026, and is first being mailed to our stockholders on or about May 26, 2026.</w:t>
      </w:r>
    </w:p>
    <w:p>
      <w:pPr>
        <w:sectPr>
          <w:pgSz w:w="11900" w:h="16838" w:orient="portrait"/>
          <w:cols w:equalWidth="0" w:num="1">
            <w:col w:w="11240"/>
          </w:cols>
          <w:pgMar w:left="320" w:top="114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1,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PROXY MATERIALS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 TO BE HELD ON JULY 1, 2026</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This proxy statement is available on the Investors section of our website at </w:t>
      </w:r>
      <w:r>
        <w:rPr>
          <w:rFonts w:ascii="Times New Roman" w:cs="Times New Roman" w:eastAsia="Times New Roman" w:hAnsi="Times New Roman"/>
          <w:sz w:val="18"/>
          <w:szCs w:val="18"/>
          <w:i w:val="1"/>
          <w:iCs w:val="1"/>
          <w:color w:val="auto"/>
        </w:rPr>
        <w:t>http://www.originmaterials.com</w:t>
      </w:r>
      <w:r>
        <w:rPr>
          <w:rFonts w:ascii="Times New Roman" w:cs="Times New Roman" w:eastAsia="Times New Roman" w:hAnsi="Times New Roman"/>
          <w:sz w:val="18"/>
          <w:szCs w:val="18"/>
          <w:color w:val="auto"/>
        </w:rPr>
        <w:t>. The information provided on, or accessible through, our website is not part of this proxy statement, and therefore is not incorporated herein by reference. We intend to mail these proxy materials on or about May 26, 2026 to all stockholders of record entitled to vote at the Special Meeting.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complete list of the stockholders entitled to vote at the Special Meeting will be available for examination during regular business hours for the ten days prior to the Special Meeting by request. You may email us at ir@originmaterials.com to coordinate arrangements to view the stockholder list.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SPECIAL MEETING VIRTUALLY,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approve the Plan of Dissolution, without your instructions.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voting virtually at the Special Meeting will revoke any proxy that you previously submitted. If you hold your Shares through a bank, broker or other nominee, you must obtain a “legal proxy” in order to vote virtually at the Special Meeting.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fail to (1) return your proxy card, (2) grant your proxy electronically over the Internet or by telephone or (3) vote virtually at the Special Meeting, your Shares will not be counted for purposes of determining whether a quorum is present at the Special Meeting and, if a quorum is present, will have the same effect as a vote “AGAINST” the Dissolution Proposal and the Adjournment Proposal (as defined below).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read and consider this entire proxy statement and its annexes, along with all of the documents incorporated by reference into this proxy statement, as they contain important information about, among other things, the Transactions and how they affect you. 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 Suite 503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929-5500 (Call Collect)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9"/>
              </w:rPr>
              <w:t>PROXY STATEMENT FOR SPECIAL MEETING OF STOCKHOLDERS</w:t>
            </w: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60" w:type="dxa"/>
            <w:vAlign w:val="bottom"/>
            <w:tcBorders>
              <w:bottom w:val="single" w:sz="8" w:color="auto"/>
            </w:tcBorders>
            <w:gridSpan w:val="7"/>
            <w:vMerge w:val="continue"/>
          </w:tcPr>
          <w:p>
            <w:pPr>
              <w:spacing w:after="0"/>
              <w:rPr>
                <w:sz w:val="17"/>
                <w:szCs w:val="17"/>
                <w:color w:val="auto"/>
              </w:rPr>
            </w:pPr>
          </w:p>
        </w:tc>
        <w:tc>
          <w:tcPr>
            <w:tcW w:w="1280" w:type="dxa"/>
            <w:vAlign w:val="bottom"/>
            <w:vMerge w:val="restart"/>
          </w:tcPr>
          <w:p>
            <w:pPr>
              <w:spacing w:after="0"/>
              <w:rPr>
                <w:sz w:val="17"/>
                <w:szCs w:val="17"/>
                <w:color w:val="auto"/>
              </w:rPr>
            </w:pPr>
          </w:p>
        </w:tc>
        <w:tc>
          <w:tcPr>
            <w:tcW w:w="5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vMerge w:val="restart"/>
          </w:tcPr>
          <w:p>
            <w:pPr>
              <w:spacing w:after="0"/>
              <w:rPr>
                <w:sz w:val="17"/>
                <w:szCs w:val="17"/>
                <w:color w:val="auto"/>
              </w:rPr>
            </w:pPr>
          </w:p>
        </w:tc>
        <w:tc>
          <w:tcPr>
            <w:tcW w:w="1760" w:type="dxa"/>
            <w:vAlign w:val="bottom"/>
            <w:vMerge w:val="restart"/>
          </w:tcPr>
          <w:p>
            <w:pPr>
              <w:spacing w:after="0"/>
              <w:rPr>
                <w:sz w:val="17"/>
                <w:szCs w:val="17"/>
                <w:color w:val="auto"/>
              </w:rPr>
            </w:pPr>
          </w:p>
        </w:tc>
        <w:tc>
          <w:tcPr>
            <w:tcW w:w="500" w:type="dxa"/>
            <w:vAlign w:val="bottom"/>
            <w:gridSpan w:val="3"/>
            <w:vMerge w:val="restart"/>
          </w:tcPr>
          <w:p>
            <w:pPr>
              <w:jc w:val="center"/>
              <w:ind w:left="253"/>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vMerge w:val="restart"/>
          </w:tcPr>
          <w:p>
            <w:pPr>
              <w:spacing w:after="0"/>
              <w:rPr>
                <w:sz w:val="17"/>
                <w:szCs w:val="17"/>
                <w:color w:val="auto"/>
              </w:rPr>
            </w:pPr>
          </w:p>
        </w:tc>
        <w:tc>
          <w:tcPr>
            <w:tcW w:w="2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SUMMARY OF TERMS</w:t>
            </w:r>
          </w:p>
        </w:tc>
        <w:tc>
          <w:tcPr>
            <w:tcW w:w="50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GENERAL QUESTIONS AND ANSWERS ABOUT THESE PROXY MATERIALS AND VOTING</w:t>
            </w:r>
          </w:p>
        </w:tc>
        <w:tc>
          <w:tcPr>
            <w:tcW w:w="3020" w:type="dxa"/>
            <w:vAlign w:val="bottom"/>
            <w:gridSpan w:val="4"/>
          </w:tcPr>
          <w:p>
            <w:pPr>
              <w:spacing w:after="0"/>
              <w:rPr>
                <w:sz w:val="18"/>
                <w:szCs w:val="18"/>
                <w:color w:val="auto"/>
              </w:rPr>
            </w:pPr>
          </w:p>
        </w:tc>
        <w:tc>
          <w:tcPr>
            <w:tcW w:w="50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GENERAL INFORMATION ABOUT THE DISSOLUTION AND THE PLAN OF DISSOLUTION</w:t>
            </w:r>
          </w:p>
        </w:tc>
        <w:tc>
          <w:tcPr>
            <w:tcW w:w="100" w:type="dxa"/>
            <w:vAlign w:val="bottom"/>
          </w:tcPr>
          <w:p>
            <w:pPr>
              <w:spacing w:after="0"/>
              <w:rPr>
                <w:sz w:val="18"/>
                <w:szCs w:val="18"/>
                <w:color w:val="auto"/>
              </w:rPr>
            </w:pPr>
          </w:p>
        </w:tc>
        <w:tc>
          <w:tcPr>
            <w:tcW w:w="30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SPECIAL NOTE REGARDING FORWARD-LOOKING STATEMENTS</w:t>
            </w:r>
          </w:p>
        </w:tc>
        <w:tc>
          <w:tcPr>
            <w:tcW w:w="506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RISK FACTORS</w:t>
            </w:r>
          </w:p>
        </w:tc>
        <w:tc>
          <w:tcPr>
            <w:tcW w:w="91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PROPOSAL 1: APPROVAL OF THE DISSOLUTION PURSUANT TO THE PLAN OF DISSOLUTION</w:t>
            </w:r>
          </w:p>
        </w:tc>
        <w:tc>
          <w:tcPr>
            <w:tcW w:w="5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PROPOSAL 2: APPROVAL OF ADJOURNMENT OF SPECIAL MEETING TO SOLICIT ADDITIONAL PROXIES</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48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w:t>
            </w:r>
          </w:p>
        </w:tc>
        <w:tc>
          <w:tcPr>
            <w:tcW w:w="36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ADDITIONAL INFORMATION</w:t>
            </w:r>
          </w:p>
        </w:tc>
        <w:tc>
          <w:tcPr>
            <w:tcW w:w="798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WHERE YOU CAN FIND MORE INFORMATION; INCORPORATION BY REFERENCE</w:t>
            </w:r>
          </w:p>
        </w:tc>
        <w:tc>
          <w:tcPr>
            <w:tcW w:w="36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70"/>
              </w:rPr>
              <w:t>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00" w:type="dxa"/>
            <w:vAlign w:val="bottom"/>
            <w:gridSpan w:val="3"/>
          </w:tcPr>
          <w:p>
            <w:pPr>
              <w:jc w:val="center"/>
              <w:ind w:left="233"/>
              <w:spacing w:after="0"/>
              <w:rPr>
                <w:sz w:val="20"/>
                <w:szCs w:val="20"/>
                <w:color w:val="auto"/>
              </w:rPr>
            </w:pPr>
            <w:r>
              <w:rPr>
                <w:rFonts w:ascii="Times New Roman" w:cs="Times New Roman" w:eastAsia="Times New Roman" w:hAnsi="Times New Roman"/>
                <w:sz w:val="18"/>
                <w:szCs w:val="18"/>
                <w:color w:val="auto"/>
                <w:w w:val="99"/>
              </w:rPr>
              <w:t>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ANNEX A: ORIGIN MATERIALS, INC. PLAN OF COMPLETE LIQUIDATION AND DISSOLUTION</w:t>
            </w:r>
          </w:p>
        </w:tc>
        <w:tc>
          <w:tcPr>
            <w:tcW w:w="27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w w:val="78"/>
              </w:rPr>
              <w:t>A-1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ANNEX B; SECTIONS 275 THROUGH 283 OF THE DGCL</w:t>
            </w:r>
          </w:p>
        </w:tc>
        <w:tc>
          <w:tcPr>
            <w:tcW w:w="588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Sacramento, California 95605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TERMS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most material terms of the Plan of Dissolution of Origin Materials, Inc. detailed in this proxy statement and attached as Appendix A. This summary does not contain all of the information that is important to you. We urge you to read this entire document (including the appendices) before you decide whether to vote to approve the Plan of Dissolution. As used in this proxy statement, unless the context otherwise requires, the terms “we,” “us,” “our,” “the Company,” and “Origin” refer to Origin Materials, Inc., a Delaware corporation.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Origin Materials, Inc.</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discontinued substantially all commercial activities and commenced reducing our workforce, including the termination of most employees by the end of the second quarter of 2026.</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Origin was formerly known as Artius Acquisition Inc. (“Artius”). Artius was originally registered under the Companies Law of the Cayman Islands on January 24, 2020, as a special purpose acquisition company formed for the purpose of effecting a merger, capital stock exchange, asset acquisition, stock purchase, reorganization, or other similar business combination with one or more target businesses. On June 25, 2021, we consummated a merger pursuant to that certain Agreement and Plan of Merger and Reorganization, dated as of February 16, 2021 (as amended by the letter agreement dated March 5, 2021, the “Merger Agreement”), by and among Artius, Zero Carbon Merger Sub Inc., a Delaware corporation and a direct, wholly owned subsidiary of Artius (the “Merger Sub”) and Micromidas, Inc., a Delaware corporation doing business as Origin Materials (“Legacy Origin”). Pursuant to the terms of the Merger Agreement, Artius effected a business combination with Legacy Origin through the merger of Merger Sub with and into Legacy Origin, with Legacy Origin as the surviving company and as our wholly-owned subsidiary. In connection with the closing of the business combination we changed our name to Origin Materials, Inc. Our website address is </w:t>
      </w:r>
      <w:r>
        <w:rPr>
          <w:rFonts w:ascii="Times New Roman" w:cs="Times New Roman" w:eastAsia="Times New Roman" w:hAnsi="Times New Roman"/>
          <w:sz w:val="18"/>
          <w:szCs w:val="18"/>
          <w:i w:val="1"/>
          <w:iCs w:val="1"/>
          <w:color w:val="auto"/>
        </w:rPr>
        <w:t>www.originmaterials.com</w:t>
      </w:r>
      <w:r>
        <w:rPr>
          <w:rFonts w:ascii="Times New Roman" w:cs="Times New Roman" w:eastAsia="Times New Roman" w:hAnsi="Times New Roman"/>
          <w:sz w:val="18"/>
          <w:szCs w:val="18"/>
          <w:color w:val="auto"/>
        </w:rPr>
        <w:t>. Information found on, or accessible through, our website is not a part of, and is not incorporated into, this proxy statement.</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historically filed electronically with the SEC our annual reports on Form 10-K, quarterly reports on Form 10-Q, current reports on Form 8-K, and amendments to those reports filed or furnished pursuant to Section 13(a) or 15(d) of the Securities Exchange Act of 1934, as amended.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Plan of Dissolution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(see page 22)</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May 1, 2026, we announced that our Board of Directors had unanimously approved, subject to stockholder approval, the dissolution and liquidation of Origin Materials pursuant to the Plan of Dissolution. A Special Meeting of our stockholders will be held virtually, via live webcast at </w:t>
      </w:r>
      <w:r>
        <w:rPr>
          <w:rFonts w:ascii="Times New Roman" w:cs="Times New Roman" w:eastAsia="Times New Roman" w:hAnsi="Times New Roman"/>
          <w:sz w:val="18"/>
          <w:szCs w:val="18"/>
          <w:i w:val="1"/>
          <w:iCs w:val="1"/>
          <w:color w:val="auto"/>
        </w:rPr>
        <w:t xml:space="preserve">www.virtualshareholdermeeting.com/ORGN2026SM2 </w:t>
      </w:r>
      <w:r>
        <w:rPr>
          <w:rFonts w:ascii="Times New Roman" w:cs="Times New Roman" w:eastAsia="Times New Roman" w:hAnsi="Times New Roman"/>
          <w:sz w:val="18"/>
          <w:szCs w:val="18"/>
          <w:color w:val="auto"/>
        </w:rPr>
        <w:t>on July 1, 2026, at 8:30 a.m. Pacific Time. At the Special Meeting, you will be asked to consider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upon proposals to (1) approve the dissolution and liquidation of Origin Materials pursuant to the Plan of Dissolution; (2) adjourn the Special Meeting, if necessary or appropriate, to permit further solicitation of proxies if there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sufficient votes at the time of the Special Meeting to approve the dissolution and liquidation of Origin Materials pursuant to the Plan of Dissolution; and (3) transact such other business as may properly come before the Special Meeting or any adjournments or postponements of the Special Meeting.</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the Dissolution is approved by our stockholders, our Board of Directors will have sole discretion to determine if and when (at such time as they deem appropriate following stockholder approval of the Dissolution) to proceed with the Dissolution. If the Board of Directors decides to proceed with the Dissolution, we will liquidate our remaining assets, satisfy or make reasonable provision for our remaining obligations, and make distributions to the stockholders of available proceeds, if any. The Board of Directors intends to seek to distribute funds to our stockholders as quickly as possible, as permitted by the General Corporation Law of the State of Delaware, or the DGCL, and the Plan of Dissolution,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 (as defined below). The proportionate interests of all of our stockholders will be fixed on the basis of their respective stock holdings at the close of business on the date we file a certificate of dissolution, or the Certificate of Dissolution, with the Delaware Secretary of State, which is referred to herein as the “Final Record Date.” We will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any distributions made by us will be made solely to the stockholders of record as of the close of business on the Final Record Date, except as may be necessary to reflect subsequent transfers recorded on our books as a result of any assignments by will, intestate succession or operation of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Dissolution (see page 25)</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the dissolution and liquidation of Origin Materials is advisable and in the best interests of Origin Materials and our stockholders. The decision of the Board of Directors to seek your approval for the Dissolution Proposal followed a lengthy process in which the Board of Directors consulted with management, and with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 In making its determination, our Board of Directors considered, in addition to other pertinent factors:</w:t>
      </w:r>
    </w:p>
    <w:p>
      <w:pPr>
        <w:spacing w:after="0" w:line="187"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management and certain members of our Board of Directors, with the assistance of our financial advisor,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our Board of Directors, after conducting a review of our financial condition, evaluation of potential strategic alternatives, including prospects for a business combination, the results of operations and our future business prospects, that continuing to operate as a going concern is not reasonably likely to create greater value for the stockholders than the value that may be obtained for the stockholders pursuant to the Dissolution;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the dissolution process under the DGCL may facilitate earlier distributions to stockholders of the residual value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costs associated with our business operations, including accounting, legal and other expenses in connection with operating as a publicly traded company, which we expect should be materially reduced following dissolution;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Proposal is subject to approval by our stockholders and allows stockholders to have a direct vote on whether they concur with such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approval of the Plan of Dissolution by our stockholders authorizes our Board of Directors and officers to implement the Plan of Dissolution without further stockholder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under the DGCL, if the circumstances justifying the Dissolution change, the Certificate of Dissolution may be revoked after the effective time of the Dissolution as set forth in the Certificate of Dissolution, or the Effective Time, if the Board of Directors adopts a resolution recommending revocation and if the stockholders originally entitled to vote on the Dissolution approve such revocation at a meeting of stockholders.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concluded that dissolution and liquidation under Delaware law is the preferred strategy among the alternatives now available to us and is in the best interests of our stockholders. Accordingly, our Board of Directors unanimously approved the dissolution and liquidation of Origin Materials pursuant to the Plan of Dissolution and recommends that our stockholders approve the dissolution and liquidation of Origin Materials pursuant to the Plan of Dissolution.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our Plan of Dissolution and Dissolution Process (see page 28)</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Certificate of Dissolution with the Delaware Secretary of State;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all our business activities except those relating to winding up and liquidating our business and affairs, including, but not limited to, prosecuting and defending suits by or against us,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sale, exchange or other disposition of remaining non-cash property and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or the making of reasonable provision to pay all claims and obligations, including all contingent, conditional or un-matured contractual claims known to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any claim against us which is the subject of a pending action, suit or proceeding to which we are a party;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aside of a contingency reserve consisting of cash and/or property to satisfy such claims and contingent obligations of Origin Materials;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Initial Liquidation Distribution to our stockholders of record determined as of the Final Record Date;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and all other actions permitted or required by the DGCL and any other applicable laws and regulations.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to the full extent permitted by law, amend the Plan of Dissolution without any further stockholder approval if it determines that such amendment is in the best interest of our stockholders. In addition, if the Board of Directors determines that dissolution and liquidation are not in the best interests of our stockholders, the Board of Directors may direct that the Plan of Dissolution be abandoned, either before or after stockholder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Distribution to Stockholders (see page 29)</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the Plan of Dissolution is approved by our stockholders, we intend to make an initial liquidation distribution, or the Initial Liquidation Distribution, to our common stockholders of between $0.61 and $3.54 per share of common stock (based on 5,502,770 shares outstanding as of May 8, 2026). We intend to make the Initial Liquidation Distribution as soon as practicable following the filing of the Certificate of Dissolution as our remaining non-cash assets are sold and creditor claims and contingent liabilities are paid or settled; however, we are unable to predict the precise timing or amount of the Initial Liquidation Distribution. The timing of the distribution will depend upon the actual expenses incurred, the timing of the resolution of matters for which we have established the contingency reserve, and the amount to be paid in satisfaction of such contingencies. </w:t>
      </w:r>
      <w:r>
        <w:rPr>
          <w:rFonts w:ascii="Times New Roman" w:cs="Times New Roman" w:eastAsia="Times New Roman" w:hAnsi="Times New Roman"/>
          <w:sz w:val="18"/>
          <w:szCs w:val="18"/>
          <w:b w:val="1"/>
          <w:bCs w:val="1"/>
          <w:color w:val="auto"/>
        </w:rPr>
        <w:t>The Initial Liquidation Distribution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Initial Liquidation Distribution will not occur until after the Certificate of Dissolution is filed, and we cannot predict the ultimate timing or amount of the distribution, as uncertainties exist as to the value we may 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the Initial Liquidation Distribution, or the timing of such distribution. In addition, if creditor claims or expenses are higher than anticipated, stockholders may receive no distribution at all. Although we cannot predict the timing or amount of any distribution, the Board of Directors intends to seek to make the Initial Liquidation Distribution to our common stockholders as quickly as possible, as permitted by the DGCL and the Plan of Dissolution, and will take all reasonable actions to optimize the distributable value to our common stockholders. See “Risk Factors”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Contingency Reserve (see page 35)</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We currently estimate that we will establish a reserve of approximately $2.0 million for unanticipated claims, which will be used to satisfy contingent and unknown liabilities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Under the DGCL, in the event we fail to create an adequate contingency reserve for payment of our expenses and liabilities, or should such contingency reserve and the assets held by us or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of the Company; Final Record Date (see page 36)</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and Trading of the Common Stock (see page 36)</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(see page 37)</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terminate all our equity incentive plans effective upon our Dissolution. Therefore, all outstanding awards, whether currently vested or unvested, will terminate immediately prior to our Dissolution in accordance with the terms of our equity incentive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Interests of Directors and Executive Officers in Approval of the Plan of Dissolution (see page 38)</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our Board of Directors, you should be aware that our directors and executive officers may have interests in the Plan of Dissolution that are different from or in addition to your interests as a stockholder and that may present actual or potential conflicts of interest. Our Board of Directors was aware of these interests and considered them, among other matters, in approving the Plan of Dissolution and the transactions contemplated thereby and in determining to recommend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dissolution and liquidation of Origin Materials pursuant to the Plan of Dissolution. You should consider these and other interests of our directors and executive officers that are described in this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of the Dissolution (see page 41)</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made pursuant to the Plan of Dissolution are intended to be treated as received by a Holder in exchange for the Holder’s shares of our common stock and could result in a U.S. federal income tax liability to the Holder. For a more detailed discussion, see “Material U.S. Federal Income Tax Consequences of the Dissolution” beginning on page 41 of this proxy statement. Holders are urged to carefully review the discussion of tax matters within this proxy statement and to consult their own tax advisors as to the specific tax consequences to them of the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Stockholder Vote (see page 46)</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all outstanding shares of common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Our Board of Directors (see page 47)</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28, 2026, our Board of Directors unanimously:</w:t>
      </w:r>
    </w:p>
    <w:p>
      <w:pPr>
        <w:spacing w:after="0" w:line="225"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dissolution and liquidation of Origin Materials, and the other transactions contemplated thereby, are advisable and in the best interests of Origin Materials and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all respects the Plan of Dissolution and the other transactions contemplated thereby,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our stockholders vote “FOR” the approval of the dissolution and liquidation of Origin Materials pursuant to the Plan of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GENERAL 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sent you this proxy statement and the enclosed proxy card because our Board of Directors is soliciting your proxy to vote at the Special Meeting. You are invited to attend the Special Meeting to vote on the proposals described in this proxy statement. However, you do not need to attend the meeting to vote your shares. Instead, you may simply complete, sign and return the enclosed proxy card, follow the instructions below to submit your proxy over the telephone or on the Internet, or follow the instructions received from your brokerage firm, bank, dealer or other similar organization if you hold your shares in “street” name. Refer to “How do I vote?” below.</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Under rules adopted by the SEC, we have mailed the full set of our proxy materials, including this proxy statement and the proxy card, to our stockholders of record as of the close of business on May 20, 2026, on or around May 26, 2026. The proxy materials are also available to view and download from the Investor section of our website at </w:t>
      </w:r>
      <w:r>
        <w:rPr>
          <w:rFonts w:ascii="Times New Roman" w:cs="Times New Roman" w:eastAsia="Times New Roman" w:hAnsi="Times New Roman"/>
          <w:sz w:val="18"/>
          <w:szCs w:val="18"/>
          <w:i w:val="1"/>
          <w:iCs w:val="1"/>
          <w:color w:val="auto"/>
        </w:rPr>
        <w:t>http://www.originmaterials.com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Special Meeting online?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Special Meeting will be a completely virtual meeting of stockholders and will be webcast live over the Internet. Any stockholder can attend the virtual meeting live online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The webcast will start at 8:30 a.m. Pacific Time. Stockholders as of May 20, 2026, or the Record Date, may vote and submit questions while attending the meeting online. We encourage you to access the meeting prior to the start time. If you encounter any difficulties accessing the virtual meeting during the check-in or meeting time, please refer to the technical support information located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not be able to attend the Special Meeting in person. Stockholders attending the Special Meeting will be afforded the same rights and opportunities to participate as they would at an in-person meeting.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order to enter the Special Meeting, you will need the control number, which is included in your proxy materials if you are a stockholder of record of shares of common stock, or included with your voting instructions and materials received from your broker, bank or other agent if you hold your shares of common stock in a “street name.” Instructions on how to attend and participate are available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We recommend that you log in a few minutes before 8:30 a.m. Pacific Time to ensure you are logged in when the Special Meeting starts. The webcast will open 15 minutes before the start of the Special Meeting.</w:t>
      </w:r>
    </w:p>
    <w:p>
      <w:pPr>
        <w:spacing w:after="0" w:line="1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If you would like to submit a question during the Special Meeting, you may log in to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using your control number, type your question into the “Ask a Question” field, and click “Submit.”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Special Meeting?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you encounter any difficulties accessing the virtual Special Meeting during the check-in or meeting time, please refer to the technical support information located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If we experience technical difficulties at the Special Meeting and are not able to resolve them within a reasonable amount of time, we will adjourn the Special Meeting to a later date and will provide notice of the date and time of such adjourned meeting in the Investor section of our website at </w:t>
      </w:r>
      <w:r>
        <w:rPr>
          <w:rFonts w:ascii="Times New Roman" w:cs="Times New Roman" w:eastAsia="Times New Roman" w:hAnsi="Times New Roman"/>
          <w:sz w:val="18"/>
          <w:szCs w:val="18"/>
          <w:i w:val="1"/>
          <w:iCs w:val="1"/>
          <w:color w:val="auto"/>
        </w:rPr>
        <w:t>http://www.originmaterials.com</w:t>
      </w:r>
      <w:r>
        <w:rPr>
          <w:rFonts w:ascii="Times New Roman" w:cs="Times New Roman" w:eastAsia="Times New Roman" w:hAnsi="Times New Roman"/>
          <w:sz w:val="18"/>
          <w:szCs w:val="18"/>
          <w:color w:val="auto"/>
        </w:rPr>
        <w:t>. For additional information on how you can attend any postponement or adjournment of the Special Meeting, see “What happens if the Special Meeting is postponed or adjourned”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ten days prior to the Special Meeting, the list will be available for examination by any stockholder of record for a legally valid purpose by request. You may email us at ir@originmaterials.com to coordinate arrangements to view the stockholder list.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20, 2026, will be entitled to vote at the Special Meeting. On this record date, there were 5,503,087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of Common Stock Registered in Your Name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on May 20, 2026, your shares of common stock were registered directly in your name with our transfer agent, Continental Stock Transfer &amp; Trust Company, LLC, then you are a stockholder of record. As a stockholder of record, you may vote online during the Special Meeting or vote by proxy. Whether or not you plan to attend the Special Meeting, we urge you to vote by proxy to ensure your vote is counted. Refer to “How do I vote?”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of Common Stock Registered in the Name of a Broker, Bank or Other Agent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on May 20, 2026, your shares of common stock were held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225"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Dissolution pursuant to the Plan of Dissolution, which, if approved, will authorize the dissolution and liquidation of Origin Materials in accordance with the Plan of Dissolution. This proposal is referred to as the “Dissolution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discretionary authority to the Board of Directors to adjourn the Special Meeting, even if a quorum is present, to solicit additional proxies in the event that there are insufficient shares present in person or by proxy voting in favor of the dissolution and liquidation of Origin Materials pursuant to the Plan of Dissolution. This proposal is referred to as the “Adjournment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Special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proposal, you may vote “For” or “Against” or abstain from voting.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procedures for voting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of Common Stock Registered in Your Name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or you may vote by proxy using the enclosed proxy card. Whether or not you plan to attend the Special Meeting, we urge you to vote by proxy to ensure your vote is counted. You may still attend the Special Meeting and vote online, even if you have already voted by proxy.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left="660" w:hanging="323"/>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w:t>
        <w:tab/>
        <w:t xml:space="preserve">To vote online during the Special Meeting follow the provided instructions to join the meeting at </w:t>
      </w:r>
      <w:r>
        <w:rPr>
          <w:rFonts w:ascii="Times New Roman" w:cs="Times New Roman" w:eastAsia="Times New Roman" w:hAnsi="Times New Roman"/>
          <w:sz w:val="18"/>
          <w:szCs w:val="18"/>
          <w:i w:val="1"/>
          <w:iCs w:val="1"/>
          <w:color w:val="auto"/>
        </w:rPr>
        <w:t>www.virtualshareholdermeeting.com/ORGN2026SM2</w:t>
      </w:r>
      <w:r>
        <w:rPr>
          <w:rFonts w:ascii="Times New Roman" w:cs="Times New Roman" w:eastAsia="Times New Roman" w:hAnsi="Times New Roman"/>
          <w:sz w:val="18"/>
          <w:szCs w:val="18"/>
          <w:color w:val="auto"/>
        </w:rPr>
        <w:t>, starting at 8:30 a.m. Pacific Time on July 1, 2026. The webcast will open 15 minutes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start of the Special Meeting.</w:t>
      </w:r>
    </w:p>
    <w:p>
      <w:pPr>
        <w:spacing w:after="0" w:line="174" w:lineRule="exact"/>
        <w:rPr>
          <w:sz w:val="20"/>
          <w:szCs w:val="20"/>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in advance of the Special Meeting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company number and control number from the Notice or the printed proxy card. Your internet vote must be received by 11:59 p.m., Eastern Time on June 30, 2026 to be counted.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advance of the Special Meeting by telephone, dial 1-800-690-6903 using a touch-tone phone and follow the recorded instructions. You will be asked to provide the company number and control number from the Notice or the printed proxy card. Your telephone vote must be received by 11:59 p.m., Eastern Time on June 30, 2026 to be counted.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enclosed proxy card, complete, sign and date the enclosed proxy card and return it promptly in the accompanying postage-paid envelope. If you return your signed proxy card to us before the Special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of Common Stock Registered in the Name of Broker, Bank or Other Agent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form with these proxy materials from that organization rather than from Origin Materials. Complete and mail the voting instruction form to ensure that your vote is counted. Alternatively, you may vote by telephone or over the internet if so instructed by your broker, bank or other agent. To vote online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Continental Stock Transfer &amp; Trust Company, LLC, you are considered, with respect to those shares, to be the “stockholder of record.” In this case, this proxy statement and your proxy card have been sent directly to you by Origin Materials.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you are considered the “beneficial owner” of shares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Because of the non-routine nature of the Proposals, your broker, bank or other nominee is not authorized to vote your shares on any proposal without instructions from you. You are also invited to attend the Special Meeting. However, because you are not the stockholder of record, you may not vote your shares virtually at the Special Meeting unless you have obtained a legal proxy from your broker, bank or other nominee, as the stockholder of record, authorizing you to vote your shares. Refer to “If my broker holders my shares in ‘street name,’ will my broker vote my shares for me?”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close of business on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abstain from voting or if I do not vote on the proposals?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you abstain from voting, that abstention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to adopt the Plan of Dissolution and the Adjournment Proposal. However, abstentions are counted as shares present or represented by proxy at the Special Meeting for purposes of determining whether a quorum is present at the Special Meeting. As a result, an abstention of any of the aforementioned proposals will be counted for purposes of determining the presence or absence of a quorum, but will count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each of the proposal to adopt the Plan of Dissolution and the Adjournment Proposal.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Failure to vote your shares of common stock (including a failure of your broker, bank or other nominee to vote shares held on your behalf) will also count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to adopt the Plan of Dissolution. If your shares are not deemed present or represented by proxy at the Special Meeting, then a failure to vote will not have any effect on the Adjournment Proposal. If your shares are deemed present or represented by proxy, then a failure to vote your shares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only if a quorum is not present, and will have no effect on the Adjournment Proposal.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Therefore, it is important that you instruct your broker, bank or other nominee on how you wish to vote your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2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dissolution and liquidation of Origin Materials pursuant to the Plan of Dissolution;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unanimously recommends that the stockholders vote:</w:t>
      </w:r>
    </w:p>
    <w:p>
      <w:pPr>
        <w:spacing w:after="0" w:line="2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adoption of the Plan of Dissolution;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the factors that the Board of Directors considered in determining to recommend that you vote to approve the proposal to approve the Plan of Dissolution, please see the section captioned “Proposal 1: Adoption of the Plan of Dissolution - The Board of Directors’ Recommendation.” In addition, when considering the recommendation of the Board of Directors, you should be aware that some of our directors and executive officers may have interests in the Dissolution that are different from, or in addition to, the interests of stockholders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For a discussion of these interests, please see the section captioned “Approval of the Dissolution Pursuant to the Plan of Dissolution - Interests of Directors and Executive Officers in Approval of the Plan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do now?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read and consider this entire proxy statement and the annex to this proxy statement, along with all of the documents that we refer to in this proxy statement, as they contain important information about, among other things, the Dissolution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can be voted at the Special Meeting, unless you wish to seek appraisal pursuant to Section 262 of the DGCL. If you hold your Shares in “street name,” please refer to the voting instruction forms provided by your bank, broker or other nominee to vote your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engaged MacKenzie Partners, Inc., to assist in the solicitation of proxies and provide related advice and informational support, for a services fee, which in total is not expected to exceed $25,000, plus reimbursement of customary disbursements.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 in each set of proxy materials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You can change your vote or revoke your proxy at any time before the final vote at the Special Meeting. If you are the record holder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you may change your vote or revoke your proxy in any one of the following ways:</w:t>
      </w:r>
    </w:p>
    <w:p>
      <w:pPr>
        <w:spacing w:after="0" w:line="15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Origin Materials, Inc., Attn: Corporate Secretary, at 930 Riverside Parkway, Suite 10, West Sacramento, California 95605.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online. Attending the Special Meeting will not, by itself, revoke your proxy. You must specifically vote at the virtual Special Meeting in order for your previous proxy to be revoked.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Your most current proxy card is the one that is counted.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agent, you should follow the instructions provided by your broker, bank or other agent regarding how to change your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 Tony Tripeny, will serve as Chairperson of the meeting and will determine the method by which votes will be counted. If a poll is demanded, however, in accordance with the bylaws, every person present at the Special Meeting will have one vote for each share of common stock of which such person is the holder or for which such person holds a proxy. A poll vote will be taken by electronic ballot if so demanded in accordance with our bylaws.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Votes “For” and “Against” and abstentions will be separately counted.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broker holds my shares in “street name,” will my broker vote my shares for me?</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Your bank, broker or other nominee is permitted to vote your shares on any Proposal currently scheduled to be considered at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if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Dissolution Proposal and, only if a quorum is not present, the Adjournment Proposal, but will have no effect if a quorum is present, on the Adjournment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Proposal </w:t>
      </w:r>
      <w:r>
        <w:rPr>
          <w:rFonts w:ascii="Times New Roman" w:cs="Times New Roman" w:eastAsia="Times New Roman" w:hAnsi="Times New Roman"/>
          <w:sz w:val="18"/>
          <w:szCs w:val="18"/>
          <w:color w:val="auto"/>
        </w:rPr>
        <w:t>- The affirmative vote of the holders of a majority of all outstanding shares of common stock on the record date is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 the Dissolution Proposal. Because the required vote for this proposal is based on the number of votes our stockholders are entitled to cast rather than on the number of votes actually cast, if you fail to authorize a proxy or vote online at the meeting, abstain from voting at the meeting, or fail to instruct your broker, bank or other nominee on how to vote, such failure will have the same effect as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Adjournment Proposal </w:t>
      </w:r>
      <w:r>
        <w:rPr>
          <w:rFonts w:ascii="Times New Roman" w:cs="Times New Roman" w:eastAsia="Times New Roman" w:hAnsi="Times New Roman"/>
          <w:sz w:val="18"/>
          <w:szCs w:val="18"/>
          <w:color w:val="auto"/>
        </w:rPr>
        <w:t>- Approval of the Adjournment Proposal requires either (i) if a quorum is present, the affirmative vote of the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present in person, by remote communication or represented by proxy duly authorized at the Special Meeting and entitled to vote generally on the subject matter or (ii) if a quorum is not present, the vote of the holders of a majority of the shares represented at the Special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presence, in person or by proxy duly authorized, of the holders of record of one third of the outstanding shares of common stock entitled to vote shall constitute a quorum for the transaction of business at the Special Meeting. Assuming the Special Meeting is held solely by means of remote communication, as it is currently scheduled to be, only shares present virtually or represented by proxy at the Special Meeting will be counted in determining whether a quorum is present. Your shares will be counted towards the quorum only if you submit a valid proxy (or one is submitted on your behalf by your broker, bank or other nominee), if you vote at the meeting or if you attend the Special Meeting but abstain from voting. The Special Meeting may be adjourned whether or not a quorum is present. If you hold your Shares in “street name” and do not give any instruction to your broker, bank or other nominee as to how your shares should be voted at the Special Meeting, those shares will not be entitled to vote on any proposal at the Special Meeting and will not be counted for purposes of establishing a quorum.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close of business on May 20, 2026, the record date for the Special Meeting, there were 5,503,087 shares of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issue a press release following the Special Meeting announcing the final voting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This proxy statement, and the documents incorporated by reference herein, are available at </w:t>
      </w:r>
      <w:r>
        <w:rPr>
          <w:rFonts w:ascii="Times New Roman" w:cs="Times New Roman" w:eastAsia="Times New Roman" w:hAnsi="Times New Roman"/>
          <w:sz w:val="18"/>
          <w:szCs w:val="18"/>
          <w:i w:val="1"/>
          <w:iCs w:val="1"/>
          <w:color w:val="auto"/>
        </w:rPr>
        <w:t>http://www.sec.gov.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 Penn Plaza, Suite 503</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5540" w:right="4520" w:hanging="993"/>
        <w:spacing w:after="0" w:line="250" w:lineRule="auto"/>
        <w:tabs>
          <w:tab w:leader="none" w:pos="49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9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GENERAL INFORMATION ABOUT THE DISSOLUTION AND THE PLAN OF DISSOLUTION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Plan of Dissolution entail?</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Plan of Dissolution provides an outline of the steps for the Dissolution of Origin Materials. The Plan of Dissolution provides that we may file the Certificate of Dissolution as the Board of Directors determines in its sole discretion following the required stockholder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Board of Directors recommending approval of the Dissolution of Origin Materials pursuant to the Plan of Dissolution?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carefully considering the risks, timing, viability and potential impact on our stockholders of the strategic alternatives potentially available to us, as well as the recommendations of our management, and in consultation with our legal, financial and tax advisors, the Board of Directors determined that the Dissolution of Origin Materials pursuant to the Plan of Dissolution is advisable and in the best interests of Origin Materials and our stockholders. For further discussion of the background and reasons for the Dissolution, see “Proposal No. 1: Approval of the Dissolution Pursuant to the Plan of Dissolution - Background of the Proposed Dissolution and Plan of Dissolution” and “Proposal No. 1: Approval of the Dissolution Pursuant to the Plan of Dissolution - Reasons for the Dissolution.”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if the Dissolution is approved?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Plan of Dissolution is approved by our stockholders, our Board of Directors will have sole discretion to determine if and when (at such time as it deems appropriate following stockholder approval of the Dissolution) to proceed with the Dissolution. If the Board of Directors decides to proceed with the Dissolution, we will liquidate our remaining assets, satisfy or make reasonable provisions for our remaining obligations, and make distributions to the stockholders of available proceeds, if any,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if the Plan of Dissolution is not approved?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stockholders do not approve the Plan of Dissolution, then we will not proceed with the Initial Liquidation Distribution and we will continue our corporate existence and the Board of Directors will continue to explore strategic alternatives for returning capital to stockholders in a manner intended to maximize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Board of Directors abandon or modify the Plan of Dissolution after stockholder approval prior to the Effective Time of the Dissolution?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If the Board of Directors determines that the Dissolution is not in the best interests of Origin Materials or our stockholders,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direct that the Dissolution be abandoned, or may amend or modify the Plan of Dissolution to the extent permitted by Delaware law, in either case without the necessity of further stockholder approval. After the Certificate of Dissolution has been filed with the Delaware Secretary of State, however, revocation of the Dissolution would require stockholder approval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Origin Materials estimate the Initial Liquidation Distribution that the stockholders would receive in the Dissolution?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Plan of Dissolution is approved by our stockholders, the amount of the Initial Liquidation Distribution to our common stockholders in the Dissolution is expected to be between $0.61 and $3.54 per share of common stock (based on 5,502,770 shares outstanding as of May 8,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Initial Liquidation Distribution will not occur until after the Certificate of Dissolution is filed, and we cannot predict the ultimate timing or amount of such distribution, as uncertainties exist as to the value we may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distribution to stockholders, or the timing of any such distribution. Although we cannot predict the timing or amount of any such distributions, the Board of Directors intends to seek to make the Initial Liquidation Distribution to our stockholders as quickly as possible, as permitted by the DGCL and the Plan of Dissolution, and will take all reasonable actions to optimize the distributable value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still sell my shares of common stock?</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but only until the filing of our Certificate of Dissolution with the Delaware Secretary of State</w:t>
      </w:r>
      <w:r>
        <w:rPr>
          <w:rFonts w:ascii="Times New Roman" w:cs="Times New Roman" w:eastAsia="Times New Roman" w:hAnsi="Times New Roman"/>
          <w:sz w:val="18"/>
          <w:szCs w:val="18"/>
          <w:color w:val="auto"/>
        </w:rPr>
        <w:t>. If the Dissolution is approved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if and when the Board of Directors determines to proceed with the Dissolution, we will close our transfer books as of the Effective Time, or the Final Record Date. After such time, we will not record any further transfers of our common stock, except pursuant to the provisions of a deceased stockholder’s will, intestate succession, or by operation of law and we will not issue any new stock certificates, other than replacement certificates. As a result of the closing of our transfer books, it is anticipated that distributions, if any, made in connection with the Dissolution will be made pro rata to the same stockholders of record as the stockholders of record as of the Final Record Date, and it is anticipated that no further trading of our common stock will occur after the Final Record Date.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“Risk Factors - We intend to close our stock transfer books at the close of business on the date we file the Certificate of Dissolution with the Delaware Secretary of State, after which it will not be possible for stockholders to publicly trade our stock”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appraisal rights in connection with the Dissolution?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Stockholders are not entitled to assert appraisal rights in connection with the Dissolution, and we do not intend to independently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with any such 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risks related to the Dissolution?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You should carefully review the section titled “Risk Factors” beginning on page 19 of this proxy statement for a description of risks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 you expect the dissolution and winding-up process to be completed?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Assuming the Dissolution pursuant to the Plan of Dissolution is approved by our stockholders, we are currently targeting to file a Certificate of Dissolution with the Delaware Secretary of State prior to September 30, 2026, although such filing may be delayed by the Board of Directors in its sole discretion and the Board of Directors has not set a deadline to make its decision to proceed with the filing of a Certificate of Dissolution. Pursuant to the DGCL, our corporate existence will continue for a period of at least three years following the Effective Time for the purpose of prosecuting and defending suits, winding up the Company and making distributions to stockholders, but not for the purpose of continuing to engage in any business for which Origin Materials was organized. The three-year statutory winding-up period can be extended by the Delaware Court of Chancery. In addition, we may remain a body corporate beyond the three-year period for the sole purpose of proceedings begun before or during the three-year period. As a result, the winding-up process could extend beyond three years after dissolution, and it is difficult to estimate when it will be completed.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owe any U.S. federal income taxes as a result of the Dissolution?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Distributions made pursuant to the Plan of Dissolution are intended to be treated as received by a Holder in exchange for the Holder’s shares of our common stock and could result in a U.S. federal income tax liability to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 For a more detailed discussion, see “Material U.S. Federal Income Tax Consequences of the Dissolution” beginning on page 41 of this proxy statement. You should consult your tax advisor as to the particular tax consequences of the Dissolution to you, including the applicability of any U.S. federal, state and local and non-U.S.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stockholder approval being sought for the Dissolution Proposal?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DGCL, stockholder approval by the holders of a majority of the outstanding voting power of the shares entitled to vote on the matter is required for certain fundamental corporate transactions, such as the complete liquidation of Origin Materials or the dissolution of Origin Materials. The Dissolution Proposal contemplates the dissolution of Origin Materials, winding up of its affairs after dissolution and liquidation of any remaining assets pursuant to the Plan of Dissolution. Therefore, under the DGCL, the Dissolution Proposal requires stockholder approval. The Plan of Dissolution gives the Board of Directors, to the fullest extent permitted by law, the authority to liquidate all of our assets in the manner that is in the best interest of our stockholders after the filing of the Certificate of Dissolution without further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proxy statement contains forward-looking statements which involve substantial risks and uncertainties and are based on our beliefs and assumptions and on information currently available to Origin Materials. All statements other than statements of historical facts contained in this proxy statement, including statements regarding the Dissolution and related matters, are forward-looking statements. These forward-looking statements are subject to the safe harbor provisions under the Private Securities Litigation Reform Act of 1995. In some cases, you can identify forward-looking statements because they contain words such as “anticipate,” “believe,” “could,” “estimate,” “expect,” “intend,” “may,” “might,” “plan,” “forecast,” “foresee,” “potential,” “predict,” “project,” “likely,” “goal,” “target,” “could,” “should,” “will,” or “would,” or the negative of these words or other similar terms or expressions.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predictions based on expectations and projections about future events, are not statements of historical fact, are subject to risks, uncertainties and assumptions that are difficult to predict and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proxy statement and information contained in this proxy statement should not be relied upon as representing our estimates as of any subsequent date. These statements, and related risks, uncertainties, factors and assumptions, include, but are not limited to:</w:t>
      </w:r>
    </w:p>
    <w:p>
      <w:pPr>
        <w:spacing w:after="0" w:line="18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timing and amount of the Initial Liquidation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that will need to be set aside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such reserves to satisfy our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favorably resolve potential tax claims, litigation matters and other unresolved contingent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proceeds that might be realized from the sale or other disposition of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and any changes in, applicable tax laws, regulations, administrative practices, principles and interpretations;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Origin Materials of expenses relating to the Dissolution;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employees, consultants and other resources to carry out the Dissolution;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abandon, modify or delay implementation of the Plan of Dissolution, even after stockholder approval.</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proxy statement.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as predictions of future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proxy statement and the annex attached to the proxy statement, including risks described in our filings with the SEC referred to herein, when deciding whether to vote to approve the Dissolution Proposal. The risks and uncertainties described below are not the only ones we face. Additional risks and uncertainties of which we are unaware, or that we currently believe are not material, may also become important factors. This proxy statement also contains forward-looking statements that involve risks and uncertainties. Our actual results could differ materially from those anticipated in the forward-looking statements as a result of factors that are described below and elsewhere in this proxy statement. See the section of this proxy statement titled “Special Note Regarding Forward-Looking Statements.”</w:t>
      </w:r>
    </w:p>
    <w:p>
      <w:pPr>
        <w:spacing w:after="0" w:line="18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amount we distribute to our stockholders in the Initial Liquidation Distribution may be substantially less than the amount we currently estimate if the value realized upon the sale of our remaining assets, the amounts of our liabilities, other obligations and expenses, or claims against us are higher than we currently anticipate or larger contingency reserves are established.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stockholders approve the Plan of Dissolution, the Initial Liquidation Distribution is expected to be between $0.61 and $3.54 per share (based on 5,502,770 shares outstanding as of May 8, 2026). The amount of cash ultimately distributed to our stockholders in the distribution depends on the value realized upon the sale of our remaining assets, the amount of our liabilities, obligations and expenses and claims against us, and contingency reserves that we establish during the liquidation process. We have attempted to estimate reasonable reserves for such liabilities, obligations, expenses and claims against us. However, those estimates may be inaccurate. Factors that could impact our estimates include the following:</w:t>
      </w:r>
    </w:p>
    <w:p>
      <w:pPr>
        <w:spacing w:after="0" w:line="183"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estimates regarding the Plan of Dissolution, including the amounts received from the sale of our non-cash assets and the expenses to satisfy outstanding obligations, liabilities and claims during the liquidation process, are inaccurate;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unforeseen claims are asserted against us, we will have to defend or resolve such claims or establish a reasonable reserve before making distributions to our stockholders;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estimates regarding the expenses to be incurred in the liquidation process, including expenses of personnel required and other operating expenses (including legal, accounting and other professional fees) necessary to dissolve and liquidate Origin Materials, are inaccurate.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 foregoing occurs, the amount we distribute to our stockholders may be substantially less than the amount we currently estimate.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stockholders vote against the Plan of Dissolution, it would be very difficult for us to continue our business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do not approve the Plan of Dissolution, we would have to continue our business operations from a difficult position, in light of our announced intent to dissolve and liquidate and the expected delisting of our common stock from Nasdaq. We have generally ceased normal business operations and terminated all but 29 of our employees. Prospective employees, vendors and other third parties may refuse to form relationships or conduct business with us if they do not believe we will continue to operate as a going concern.</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do not approve the Plan of Dissolution, then we will not proceed with the Initial Liquidation Distribution and we will continue our corporate existence and the Board of Directors will continue to explore strategic alternatives for returning capital to our stockholders in a manner intended to maximize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payment of the Initial Liquidation Distribution, to our stockholders could be delayed.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intends, subject to contingencies inherent in winding down our business, to make the Initial Liquidation Distribution, as promptly as practicable as our remaining non-cash assets are sold and creditor claims and contingent liabilities are paid or settled. However, we are currently unable to predict the precise timing of the Initial Liquidation Distribution whether such liquidating distribution will occur at all. The timing of the Initial Liquidation Distribution will depend on and could be delayed by, among other things, the time required to sell or otherwise liquidate our remaining non-cash assets and claim settlements with creditors. Additionally, a creditor could seek an injunction against the making of such distributions to our stockholders on the ground that the amounts to be distributed were needed to provide for the payment of our liabilities and expenses. Any action of this type could delay or substantially diminish the amount available for such distribution to our stockholders.</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create an adequate contingency reserve for payment of our expenses and liabilities, each stockholder receiving the Initial Liquidation Distribution could be held liable for payment to our creditors of his, her or its pro rata share of amounts owed to creditors in excess of the contingency reserve, up to the amount actually distributed to such stockholder in dissolution.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Plan of Dissolution is approved by our stockholders, we will file a Certificate of Dissolution with the Delaware Secretary of State dissolving Origin Materials, Inc. Pursuant to the DGCL, we will continue to exist for three years after our dissolution or for such longer period as the Delaware Court of Chancery shall direct, for the purpose of prosecuting and defending suits against the Company and enabling us gradually to close our business, to dispose of our property, and to discharge our liabilities. Under the DGCL, in the event we fail to create an adequate contingency reserve for payment of our expenses and liabilities, each stockholder of record as of the Final Record Date could be held liable for payment to our creditors of such stockholder’s pro rata share of amounts owed to creditors in excess of the contingency reserve, up to the amount actually distributed to such stockholder in dissolution.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liability of any stockholder is limited to the amounts previously received by such stockholder from us (and from any liquidating trust or trusts) pursuant to the Plan of Dissolution, this means that a stockholder could be required to return all liquidating distributions previously made to such stockholder and receive nothing from us under the Plan of Dissolution. Moreover, in the event a stockholder has paid taxes on amounts previously received, a repayment of all or a portion of such amount could result in a stockholder incurring a net tax cost if the stockholder’s repayment of an amount previously distributed does not cause a commensurate reduction in taxes payable. While we will endeavor to make adequate reserves for all known, contingent, and unknown liabilities, there is no guarantee that the reserves established by us will be adequate to cover all such expenses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further stockholder approval will be required.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Approval of the Plan of Dissolution and the actions contemplated thereby requires the affirmative vote of a majority of our outstanding shares of common stock. If our stockholders approve the Plan of Dissolution, we will be authorized to cease operations, sell, license or otherwise dispose of all of our remaining non-cash assets and dissolve Origin Materials without further approval of our stockholders, unless required to do so by Delaware law.</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any distributions or other payments may vary from stockholder to stockholder, and the discussions in this proxy statement regarding the tax treatment of the Dissolution are general in nature.</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requested a ruling from the U.S. Internal Revenue Service, or the IRS, with respect to the anticipated tax consequences of the Dissolution or any matters relating thereto, and we will not seek an opinion of counsel with respect to the anticipated tax consequences of the sale of our non-cash assets or any distributions(including, without limitation, liquidating distributions (if any), dividend distributions or other payments). If any of the anticipated tax consequences described in this proxy statement proves to be incorrect, the result could be increased taxation at the corporate and/or stockholder level, thus reducing the benefit to our stockholders and us from such transactions. Tax considerations applicable to particular stockholders may vary with and be contingent upon the stockholder’s individual circumstances. You should consult your tax advisor as to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the Dissolution in your particular circumstances, including the applicability of any U.S. federal, state, and local and non-U.S. tax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not be able to recognize a loss for U.S. federal income tax purposes until they receive a final distribution from us.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Distributions made pursuant to the Plan of Dissolution are intended to be treated as received by a Holder in exchange for the Holder’s shares of our common stock. Accordingly, the amount of any such distribution will reduce the Holder’s adjusted tax basis in such shares, but not below zero. Any excess will be taxable as capital gain, while any tax basis remaining in such shares following the final distribution pursuant to the Plan of Dissolution will be treated as a capital loss. Any such gain or loss generally will be long-term capital gain or loss, respectively, if such shares have been held for more than one year. The deductibility of capital losses is subject to limitations. For a more detailed discussion, see “Material U.S. Federal Income Tax Consequences of the Dissolution” beginning on page 41 of this proxy statement. You should consult your tax advisor as to the particular tax consequences of the Dissolution to you, including the applicability of any U.S. federal, state, and local and non-U.S. tax laws.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at any time turn management of the liquidation over to a third party, and some or all of our directors may resign from our Board of Directors at any time.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which is expected to consist of three members following the Effective Time, may at any time turn our management over to a third party to complete the liquidation of our remaining assets and distribute the available proceeds to our stockholders, and a number of our directors may resign from our Board of Directors prior to or in connection with the filing of the Certificate of Dissolution. If management is turned over to a third party and all of our directors resign from our Board of Directors, the third party would have sole control over the liquidation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use a liquidating trust, interests of our stockholders in such a trust may not be transferable.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Plan of Dissolution, the Board of Directors has the authority to use a liquidating trust. If a liquidating trust is established, the interests of our stockholders in a liquidating trust set up by us may not be transferable, which could adversely affect your ability to realize the value of such interests.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In addition, as stockholders will be deemed to have received a liquidating distribution equal to their pro rata share of the value of the net assets distributed to an entity which is treated as a liquidating trust for tax purposes, the distribution of non-transferable interests would result in tax liability to the interest holders without their being readily able to realize the value of such interest to pay such taxes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abandon or revoke the Dissolution and this may cause prior distributions made in liquidation to be treated as 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approving the Dissolution Proposal, stockholders will also be granting the Board of Directors the authority, notwithstanding stockholder approval of the Dissolution Proposal, to abandon the Dissolution prior to the filing of the Certificate of Dissolution without further stockholder action, if the Board of Directors determines that the Dissolution is not in the best interests of Origin Materials and our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the filing of the Certificate of Dissolution, the Board of Directors may revoke the Dissolution if holders of a majority of the voting power of our common stock entitled to vote on the Dissolution Proposal approve a resolution adopted by the Board of Directors recommending such revocation. If the Dissolution is abandoned or revoked, then for U.S. federal and applicable state income tax purposes prior distributions made in liquidation to stockholders may be treated as dividends to the extent of our current and accumulated earnings and profits. See “Material U.S. Federal Income Tax Consequences of the Dissolution” beginning on page 41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DISSOLUTION PURSUANT TO THE PLAN OF DISSOLUTION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is presenting the Plan of Dissolution for approval by our stockholders at the Special Meeting. The Plan of Dissolution was unanimously approved by the Board of Directors, subject to stockholder approval, on April 28, 2026. A copy of the Plan of Dissolution is attached as </w:t>
      </w:r>
      <w:r>
        <w:rPr>
          <w:rFonts w:ascii="Times New Roman" w:cs="Times New Roman" w:eastAsia="Times New Roman" w:hAnsi="Times New Roman"/>
          <w:sz w:val="18"/>
          <w:szCs w:val="18"/>
          <w:i w:val="1"/>
          <w:iCs w:val="1"/>
          <w:color w:val="auto"/>
        </w:rPr>
        <w:t xml:space="preserve">Annex A </w:t>
      </w:r>
      <w:r>
        <w:rPr>
          <w:rFonts w:ascii="Times New Roman" w:cs="Times New Roman" w:eastAsia="Times New Roman" w:hAnsi="Times New Roman"/>
          <w:sz w:val="18"/>
          <w:szCs w:val="18"/>
          <w:color w:val="auto"/>
        </w:rPr>
        <w:t>to this proxy statement. All material features of the Plan of Dissolution are summarized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We encourage you to read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Dissolution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Plan of Dissolution and Dissolution Process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the filing the Certificate of Dissolution with the Delaware Secretary of State, our activities will be limited to:</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all of our known obligations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contingency reserve, consisting of cash or other assets, that we believe will be adequate for the satisfaction of all potential, contingent or conditional claims and liabilities;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Initial Liquidation Distribution to our stockholders of record determined as of the Final Record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attempting to convert, sell or otherwise dispose of all of our remaining non-cash assets for cash or cash equivalents in an orderly fashion;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any of our remaining commercial agreements, relationships or outstanding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operating and liquidation expenses and satisfying any contingent liabilities as they become due out of funds available in the contingency reserve;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pro rata in one or more additional liquidating distributions all of our remaining assets, if any, to our stockholders of record as of the Final Record 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or dissolving our subsidiaries;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tax filings.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Delaware law provides that, following the approval of the Plan of Dissolution by our stockholders, the Board of Directors may take such actions as it deems necessary in furtherance of the dissolution of Origin Materials and the winding up of our operations and affairs.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Initial Liquidation Distribution is expected to be between $0.61 and $3.54 per share of common stock (based on 5,502,770 shares outstanding as of May 8, 2026). We intend to make this distribution as soon as practicable following the filing of the Certificate of Dissolution as our remaining non-cash assets are sold and creditor claims and contingent liabilities or paid and settled; however, we are unable to predict the precise amount or timing of the Initial Liquidation Distribution. The timing and amount of the Initial Liquidation Distribution will depend upon the actual expenses incurred, the timing of the resolution of matters for which we have established the contingency reserve and the amount to be paid in satisfaction of such contingencies. </w:t>
      </w:r>
      <w:r>
        <w:rPr>
          <w:rFonts w:ascii="Times New Roman" w:cs="Times New Roman" w:eastAsia="Times New Roman" w:hAnsi="Times New Roman"/>
          <w:sz w:val="18"/>
          <w:szCs w:val="18"/>
          <w:b w:val="1"/>
          <w:bCs w:val="1"/>
          <w:color w:val="auto"/>
        </w:rPr>
        <w:t>The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 Distribution will be made to stockholders according to their holdings of common stock as of the Final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Date, which shall be the date on which we close our stock transfer books and discontinue recording transfers of our common stock except for transfers by will, intestate succession or operation of law.</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satisfaction of liabilities, we have used and anticipate continuing to use cash in the next several months for a number of items,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operating expenses up until the filing of the Certificate of Dissolution;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insurance coverage, including our directors’ and officer’s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Dissolution;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related costs;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legal, consulting and accounting fees.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at any time, turn our management over to a third party to complete the liquidation of our remaining assets and distribute the proceeds from the sale of assets pursuant to the Plan of Dissolution, including an assignment for the benefit of creditors. This third-party management may also be in the form of a liquidating trust, which, if adopted, would succeed to all of our assets, liabilities and obligations. Our Board of Directors may appoint one or more of our members, our officer, or a third party to act as trustee or trustees of such liquidating trust. If all of our assets are not distributed within three years after the date our dissolution, we expect to transfer our remaining assets to a liquidating trust at such time.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liquidation of our assets, we may pay our officers, directors, employees and agents, or any of them, compensation for services rendered in connection with the implementation of the Plan of Dissolution. See “Interests of Directors and Executive Officers in Approval of the Plan of Dissolution.” Such compensation is not expected to be materially different from the compensation that would be paid to an outside party for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Proposed Dissolution and Plan of Dissolution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the Plan of Dissolution, subject to stockholder approval. In connection with the Plan of Dissolution, we commenced reducing our workforce, which includes the planned termination of most employees by the end of the second quarter of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we engaged outside advisors to assist with securing equipment financing and, in November 2025, we announced that we had executed a non-binding term sheet for $20 million of such financing. In March 2026, however, we announced that the non-binding term sheet did not progress to a definitive agreement because the lender had made material reductions to the valuation assumptions underlying the debt financing.</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2025, at the direction of our Board of Directors, we commenced a broad strategic review to maximize shareholder value, including the assessment of potential strategic alternatives. As part of this process, we engaged Royal Bank of Canada (“RBC”) as our strategic and financial advisor, to assist us in the process of evaluating strategic alternatives. While we have made significant strides in commercializing our PET closures, including a limited pilot launch of a still water product in August 2025, substantial additional development work would be necessary to make our closures commercially ready for more demanding applications, such as pressurized water or carbonated soft drinks, and for our prospective customers to consider purchasing closures in the volumes necessary to sustain our business. As a result, we require a large amount of financing, in addition to our cash on hand, to complete this development work, operate our business, meet obligations as they become due, and continue to build out our manufacturing capability. After a thorough review of our ongoing operations and given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prevailing public financing environment, in April 2026, we and our Board of Directors concluded that it was in the best interests of our stockholders to wind-up our operations and proceed with the orderly sale and disposition of our technology and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our and the Board of Directors’ strategic review process:</w:t>
      </w:r>
    </w:p>
    <w:p>
      <w:pPr>
        <w:spacing w:after="0" w:line="225"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and fourth quarters of 2025, RBC contacted over 40 potential investors to gauge interest in a potential equity capital raise. We were ultimately unsuccessful in our efforts to build an investor syndicate to complete a private placement of Origin securities and we subsequently pivoted to a convertible debt transaction.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August 2025, RBC on behalf of Origin contacted approximately 15 potential strategic partners to solicit interest in a possible business combination. We entered into non-disclosure agreements with 6 of the 15 potential strategic partners for the evaluation of a possible business combination. The non-disclosure agreements were entered into on customary terms and conditions and, among other things, restricted the disclosure of confidential information and limited the rights of a party to use confidential information except for the purpose of evaluating a possible transaction. For each of these potential parties, we reviewed management presentations and other diligence materials, and attended calls with members of management at such potential parties. All but one potential strategic partner ultimately declined to proceed following initial discussions and diligence efforts.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in August 2025, we conducted extensive discussions with one potential strategic partner regarding a potential business combination. However, in March 2026, this potential strategic partner conditioned further discussions upon the establishment of a joint development program to further assess the commercial feasibility of our caps and closures business and indicated that it would not be in a position to consummate a potential transaction until the third quarter of 2026. In April 2026, following further evaluation of a potential business combination with such partner, given the additional diligence required and time required to complete such diligence and consummate a transaction, if any, we terminated discussions with the strategic partner.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entered into a securities purchase agreement, as amended, with an institutional purchaser, providing for the issuance in tranches of senior secured convertible notes with a principal face amount of up to $100.0 million. To date, we have received $15 million from issuance of convertible notes with an aggregate principal amount of $16.7 million. We do not currently meet the conditions for issuance of additional convertible notes and we have repaid $12.2 million of the convertible notes.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engaged a third-party consultant to evaluate our Origin 1 plan and furanics technology and intellectual property. As a result of our decision in February 2026 to suspend further investment in our furanics technology platform, we determined indications of impairment existed for Origin 1. With input from our third-party consultant, we evaluated the fair value of Origin 1 under an orderly liquidation approach as the primary valuation methodology, with corroborative consideration given to an alternative use undiscounted cash flow and eventual disposition approach. We determined that the fair value of the Origin 1 asset group was approximated at $18.0 million. As such, we recorded an impairment charge of $134.5 million.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implemented an organizational realignment to enhance our cash resources and reduce the amount of additional capital required to achieve cash-positive operations, while maintaining the required expertise and personnel to successfully launch our PET closures. The reorganization resulted in a reduction of approximately 32% of our global workforce, which was substantially completed in the first quarter of 2026. We also discontinued further investments in our furanics platform, narrowed our PET closure format development initiatives in 2026 by deferring non-beverage format development to 2027, and limited CapFormer line build-out in 2026 to the six lines already procured and scheduled to be installed by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25, 2026, the Board of Directors met via video conference to discuss, among other things, the results of the strategic review process to date. After a full discussion, in light of the strategic review process to date and following assessment of our remaining capital resources and rate of cash burn, as well as cash requirements we believe are necessary to achieve the commercial viability of our caps and closures business, the Board of Directors directed management to begin assessing the viability of a complete liquidation and dissolution of Origin Materials while continuing to review strategic alternatives involving a business combination or discrete sales of our technology and assets.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10, 13, and 21, 2026, the Board of Directors met via video conference, with attendance from our outside legal and financial restructuring advisors. Our executive officers and outside advisors presented updates on assessment of a complete liquidation and dissolution of Origin Materials and a comparison of the estimated value of to shareholders of such an approach with alternatives, including continued engagement with a strategic partner regarding a potential business combination. As discussed above, following further evaluation of a potential business combination with such partner, given the additional diligence required and time required to complete such diligence and consummate a transaction, if any, we terminated discussions with the strategic partner. Following these meetings, we and our advisors continued to assess and plan for a potential complete liquidation and dissolution of Origin Materials, including preparation of the Plan of Dissolution.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28, 2026, the Board of Directors met via video conference, with attendance from our outside legal and financial restructuring advisors. Our executive officers and outside legal and financial restructuring advisors presented the Plan of Dissolution, a description of the Dissolution and the results of their assessment, together with other advisors, of a potential complete liquidation and dissolution. During this meeting, members of the Board of Directors had the opportunity to ask questions about the legal aspects of the Plan of Dissolution and the Dissolution, and the Board of Directors’ questions were answered by our outside advisors and executive officers. The Board of Directors discussed the viability and potential realizable value to stockholders of other strategic alternatives in light of prevailing financing and economic conditions and the results of negotiations and, discussions with potential strategic partners. After a full discussion, with our executive officers and among themselves, the Board of Directors unanimously determined that the Dissolution was advisable and in the best interests of Origin Materials and our stockholders, and the Board of Directors resolved to adopt the Plan of Dissolution and present the Plan of Dissolution for stockholder approval.</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 2026, we announced the Board of Directors’ adoption of the Plan of Dissolution and our intention to proceed with the Dissolution and seek stockholder approval of the Plan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Dissolution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decision of the Board of Directors to seek your approval for the Dissolution Proposal followed a lengthy process in which the Board of Directors consulted with management and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considered the following factors, among others, in favor of the Dissolution pursuant to the Plan of Dissolution:</w:t>
      </w:r>
    </w:p>
    <w:p>
      <w:pPr>
        <w:spacing w:after="0" w:line="225"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had been working with RBC to assist in reviewing and evaluating a full range of strategic alternatives to enhance stockholder value since August 2025, and despite these efforts, we have been unsuccessful in identifying and completing a strategic transaction, including a business combination, that would have a reasonable likelihood of providing value to our stockholders in excess of the amount the stockholders would receive in the Dissolution;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management and certain members of our Board of Directors, with the assistance of RBC, actively canvassed the market for possible transactions and evaluated numerous potential transactions;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however, these efforts also failed to identify a potential strategic transaction that would have a reasonable likelihood of providing value to our stockholders in excess of the amount the stockholders would receive in the Dissolution;</w:t>
      </w:r>
    </w:p>
    <w:p>
      <w:pPr>
        <w:spacing w:after="0" w:line="162"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our Board of Directors, after conducting a review of our financial condition, evaluation of potential strategic alternatives, including prospects for a business combination or sale of Origin Materials as a whole, the results of operations and our future business prospects, that continuing to operate as a going concern is not reasonably likely to create greater value for the stockholders the value that may be obtained for the stockholders in the Dissolution;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the dissolution process under the DGCL may facilitate an earlier resolution of any claims against us and, in turn, earlier distributions to our stockholders of the residual value of our assets;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costs associated with our business operations, including accounting, legal and other expenses in connection with operating as a publicly traded company, which we expect should be materially reduced following dissolution;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Proposal is subject to approval by our stockholders and allows stockholders to have a direct vote on whether they concur with such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approval of the Plan of Dissolution by our stockholders authorizes our Board of Directors and officers to implement the Plan of Dissolution without further stockholder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under the DGCL, if the circumstances justifying the Dissolution change, the Certificate of Dissolution may be revoked after the Effective Time if the Board of Directors adopts a resolution recommending revocation and if the stockholders originally entitled to vote on the Dissolution approve such revocation at a meeting of stockholders.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also considered certain material risks or potentially unfavorable or negative factors in arriving at its conclusion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is advisable and in the best interests of Origin Materials and our stockholders, including, among others:</w:t>
      </w:r>
    </w:p>
    <w:p>
      <w:pPr>
        <w:spacing w:after="0" w:line="207"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as to the timing, nature and amount of the Initial Liquidation Distribution, and the amounts we would ultimately distribute to our stockholders pursuant to the Plan of Dissolution may be substantially less than the amounts we currently estimate if the value realized upon the sale of our remaining assets, the amounts of our liabilities, other obligations and expenses or claims against us are higher than we currently anticipate;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Initial Liquidation Distribution that would be paid to a stockholder under the Plan of Dissolution would not exceed the amount that the stockholder could have received upon sales of their shares of common stock in the open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value, if any, of remaining assets of Origin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distribution, or other disposition of our remaining assets generally will be a taxable transaction for Origin Materials and may result in corporate-level U.S. federal, state, and local tax;</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Dissolution Proposal may have caused significant turnover in our stockholder base, which may cause us to undergo an “ownership change” (generally defined as a greater than 50 percentage point change (by value) in our equity ownership over a three-year period) and limit our ability to use our pre-change net operating loss carryforwards and other pre-change tax attributes;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and our officer may have interests in the Plan of Dissolution that are different from, or in addition to, the interests of stockholders generally;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fail to create adequate reserves for payment of the amounts ultimately payable in respect of expenses and liabilities, creditors may seek recovery from our stockholders and our stockholders may be required to return to certain creditors some or all of the liquidating distributions;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DGCL, our stockholders are not entitled to appraisal rights for their shares of common stock in connection with the Dissolution;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applicable laws (including tax laws) and regulations;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Dissolution pursuant to the Plan of Dissolution is approved by our stockholders, holders of shares of our common stock would generally not be permitted to transfer the shares of common stock after the Effective Time, and such lack of liquidity may adversely affect the trading prices of our common stock prior to the Effective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also considered the other factors described in the section titled “Risk Factors” of this Proxy Statement and under the caption “Risk Factors” in our Annual Report on Form 10-K for the year ended December 31, 2025 and Quarterly Report on Form 10-Q for the quarter ended March 31, 2026 filed with the SEC, in deciding to approve, and recommend that our stockholders approve, the Plan of Dissolution.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preceding discussion is not intended to be an exhaustive description of the information and factors considered by our Board of Directors, but addresses the material information and factors considered. In view of the variety of factors considered in connection with its evaluation of the Plan of Dissolution, our Board of Directors did not find it practical and did not quantify or otherwise attempt to assign relative weight to the specific factors considered in reaching its conclusions. In addition, our Board of Directors did not undertake to make any specific determination as to whether any particular factor, or any aspect of any particular factor, was favorable or unfavorable to its ultimate determination, but rather conducted an overall analysis of the factors described above. In considering the factors described above, individual members of our Board of Directors may have given different weight to different factors.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this time, our Board of Directors has considered all of the strategic alternatives the Board of Directors has to date considered feasible and has determined that the Dissolution is advisable and in the best interests of Origin Materials and our stockholders, and to return to our stockholders our remaining assets and/or cash that are not necessary to provide for our liabilities. The Board of Directors, however, retains the right to consider additional alternatives that may develop and abandon or delay implementation of the Plan of Dissolution should a superior alternative arise before the filing of the Certificate of Dissolution with the Delaware Secretary of State.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Applicable to our Dissolution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corporation organized under the laws of the State of Delaware and the Dissolution will be governed by the DGCL. The following is a brief summary of some of the DGCL provisions applicable to the Dissolution. The following summary is qualified in its entirely by Sections 275 through 283 of the DGCL, which are attached to this proxy statement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Generally</w:t>
      </w:r>
    </w:p>
    <w:p>
      <w:pPr>
        <w:spacing w:after="0" w:line="227" w:lineRule="exact"/>
        <w:rPr>
          <w:sz w:val="20"/>
          <w:szCs w:val="20"/>
          <w:color w:val="auto"/>
        </w:rPr>
      </w:pPr>
    </w:p>
    <w:p>
      <w:pPr>
        <w:jc w:val="both"/>
        <w:ind w:left="660" w:hanging="328"/>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Board of Directors and Stockholders</w:t>
      </w:r>
      <w:r>
        <w:rPr>
          <w:rFonts w:ascii="Times New Roman" w:cs="Times New Roman" w:eastAsia="Times New Roman" w:hAnsi="Times New Roman"/>
          <w:sz w:val="18"/>
          <w:szCs w:val="18"/>
          <w:color w:val="auto"/>
        </w:rPr>
        <w:t>. If a corporation’s board of directors deems it advisable that the corporation should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may adopt a resolution to that effect by a majority vote of the whole board and notify the corporation’s stockholders entitled to vote on the dissolution of the adoption of the resolution and the calling of a meeting of stockholders to act on the resolution. Our Board of Directors has unanimously adopted a resolution deeming the Dissolution advisable and in the best interests of Origin Materials and our stockholders. This proxy statement and its accompanying materials constitute a notice to this effect to our stockholders and a notice of the Special Meeting at which our stockholders of record on the Record Date may vote to approve the Dissolution, among other matters. The Dissolution must be authorized and approved by the holders of a majority of our outstanding common stock on the record date entitled to vote on the Dissolution Proposal.</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 of Dissolution</w:t>
      </w:r>
      <w:r>
        <w:rPr>
          <w:rFonts w:ascii="Times New Roman" w:cs="Times New Roman" w:eastAsia="Times New Roman" w:hAnsi="Times New Roman"/>
          <w:sz w:val="18"/>
          <w:szCs w:val="18"/>
          <w:color w:val="auto"/>
        </w:rPr>
        <w:t>. If a corporation’s stockholders authorize its dissolution, to consummate the dissolution the corporation must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dissolution with the Secretary of State of the State of Delaware. If our stockholders authorize the Dissolution at the Special Meeting, we plan to file the Certificate of Dissolution with the Secretary of State of the State of Delaware before September 30, 2026, but recognize this may be delayed. Ultimately, the timing of such filing is subject to the discretion of the Board of Directors.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Permitted Abandonment of Dissolution</w:t>
      </w:r>
      <w:r>
        <w:rPr>
          <w:rFonts w:ascii="Times New Roman" w:cs="Times New Roman" w:eastAsia="Times New Roman" w:hAnsi="Times New Roman"/>
          <w:sz w:val="18"/>
          <w:szCs w:val="18"/>
          <w:color w:val="auto"/>
        </w:rPr>
        <w:t>. The resolution authorizing a dissolution adopted by a corporation’s board of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notwithstanding authorization of the dissolution by the corporation’s stockholders, the board of directors may abandon the dissolution without further action by the stockholders. While we do not currently foresee any reason that our Board of Directors would abandon our proposed Dissolution once it is authorized by our stockholders, to provide our Board of Directors with the maximum flexibility to act in the best interests of our stockholders, the resolutions adopted by our Board of Directors included this kind of provision.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Dissolution</w:t>
      </w:r>
      <w:r>
        <w:rPr>
          <w:rFonts w:ascii="Times New Roman" w:cs="Times New Roman" w:eastAsia="Times New Roman" w:hAnsi="Times New Roman"/>
          <w:sz w:val="18"/>
          <w:szCs w:val="18"/>
          <w:color w:val="auto"/>
        </w:rPr>
        <w:t>. When a corporation’s certificate of dissolution is filed with the Secretary of State of the State of Delaware and has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along with the corporation’s tender of all taxes (including Delaware franchise taxes) and fees authorized to be collected by the Secretary of State of the State of Delaware, the corporation will be dissolved.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Continuation of the Corporation After Dissolution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 The Plan of Dissolution will govern our winding up process after dissolution, and is described in further detail under the heading “Description of our Plan of Dissolution and Dissolution Process”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Plan of Dissolution and Dissolution Process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Dissolution will be conducted in accordance with the Plan of Dissolution, which is attached to this proxy statement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and incorporated by reference into this proxy statement. The following is a summary of our Plan of Dissolution and does not purport to be complete or contain all of the information that is important to you. To understand our Plan of Dissolution more fully, you are urged to read this proxy statement as well as the Plan of Dissolution. Our Plan of Dissolution may be modified, clarified or amended by action by our Board of Directors at any time and from time to time,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Authorization and Effectiveness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Plan of Dissolution may be filed with the Secretary of State of Delaware after the holders of a majority of the outstanding common stock entitled to vote on the Dissolution Proposal have authorized the Dissolution and will constitute our authorized plan and will evidence our authority to take all actions described in the Plan of Dissolution. If the Dissolution is approved by our stockholders, the timing of the filing of a Certificate of Dissolution will be subject to the discretion of the Board of Directors. The Effective Time will be when the Certificate of Dissolution is filed with the office of the Secretary of State of the State of Delaware or such later date and time that is stated in the Certificate of Dissolution.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Survival Period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three years after the Effective Time (or such longer period as the Delaware Court of Chancery may direct), or the Survival Period, we will continue as a body corporate for the purpose of prosecuting and defending lawsuits (civil, criminal or administrative) by or against us; settling and closing our business; disposing of and conveying our property; discharging our liabilities in accordance with the DGCL; and distributing our remaining assets to our stockholders. We will no longer engage in our existing business operations, except to the extent necessary to preserve the value of our assets and wind up our business affairs in accordance with our Plan of Dissolution. We anticipate that all distributions to our stockholders will be made in cash, and may be made at any time, from time to time, in accordance with the DGCL.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Liquidation, Winding Up and Distribution Process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Certificate of Dissolution with the Delaware Secretary of State;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all of business activities except those relating to winding up and liquidating our business and affairs, including, but not limited to, prosecuting and defending suits by or against us, if 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sale, exchange or other disposition of remaining non-cash property and assets;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or the making of reasonable provision to pay all claims and obligations, including all contingent, conditional or un-matured contractual claims known to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any claim against us which is the subject of a pending action, suit or proceeding to which we are a party;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aside of a contingency reserve consisting of cash and/or property to satisfy such claims and contingent obligations of Origin Materials;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Initial Liquidation Distribution to our stockholders of record determined as of the Final Record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and all other actions permitted or required by the DGCL and any other applicable laws and regulations.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Distribution to Stockholders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our current intention to make the Initial Liquidation Distribution to our stockholders of record as of the Final Record Date as soon as practicable following the filing of the Certificate of Dissolution with the Delaware Secretary of State as our remaining non-cash assets are sold and creditor claims and contingent liabilities are paid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settled. Prior to such liquidating distribution, under the DGCL, we are required to pay or provide for payment of all of our liabilities and obligations, including contingent liabilities. In determining whether adequate provision is being made for any outstanding liabilities or wind up costs, the Board of Directors may consider a variety of factors. For example, in the case of outstanding disputed or contingent liabilities or potential liabilities, including from governmental authorities, considerations may include the estimated maximum amount of a potential claim, the likelihood that such claim will be resolved in the claimant’s favor or that the contingency will occur, and any mitigating factors including availability of insurance. Further, our ability to make a liquidating distribution could be adversely affected if any unanticipated liabilities or claims arise prior to the anticipated distribution.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Uncertainties as to the amount to be received from the sale of our remaining non-cash assets and the amount of liabilities make it impossible to predict precisely the aggregate amount that will ultimately be available for distribution. We will continue to incur claims, liabilities and expenses (including operating costs, salaries, taxes, legal and accounting fees and miscellaneous expenses) following the approval of the Dissolution pursuant to the Plan of Dissolution. These claims, liabilities and expenses, as well as any disputed or contingent liabilities or potential liabilities, will reduce the amount of cash and assets available for ultimate distribution to our stockholders.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assumptions set forth below, among others, we intend to distribute to our stockholders of record as of the Final Record Date between $0.61 and $3.54 per share of common stock (based on 5,502,770 shares outstanding as of May 8, 2026). This estimate of the amount that may be available for the Initial Liquidation Distribution assumes, among other things:</w:t>
      </w:r>
    </w:p>
    <w:p>
      <w:pPr>
        <w:spacing w:after="0" w:line="176"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will be no lawsuits filed or claims asserted against us or our officer or directors prior to or following the approval of the Dissolution pursuant to the Plan of Dissolution;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dissolution and wind up of Origin Materials will be completed within three years of the filing of the Certificate of Dissolution;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reserve of approximately $2.0 million for all unknown or potential claims and contingencies that could arise after the filing of the Certificate of Dissolution;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amount of our anticipated liabilities as of the approval of the Plan of Dissolution will not exceed the estimates contained in the table below.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one or more of these assumptions may prove to be wrong, which could reduce the amount available to distribute to our stockholders. We do not plan to resolicit stockholder approval for the Dissolution pursuant to the Plan of Dissolution even if the amount ultimately distributed to our stockholders changes significantly from the estimates set forth in this proxy statement.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 of cash ultimately distributed to our stockholders in the Initial Liquidation Distribution depends on the accuracy of our assumptions and estimates. We have attempted to make reasonable estimates and assumptions, however, if any of such estimates or assumptions are inaccurate, the amount we distribute to our stockholders may be substantially less than the amount we currently estimate. See “Risk Factors - The amount we distribute to our stockholders in the Initial Liquidation Distribution may be substantially less than the amount we currently estimate if the amounts of our liabilities, other obligations and expenses or claims against us are higher than we currently anticipate or larger contingency reserves are established.”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basis for calculating our estimate of the Initial Liquidation Distribution to our stockholders of record as of the Final Record Date. The following table is based upon several assumptions, including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those set forth above, and estimates of certain liabilities. Our estimates for the proceeds from the sale of assets reflect what we believe to be their net realizable value within a reasonable range from low to high, in the context of an orderly wind down in which assets are sold on a stand-alone basis. To determine these values, we have utilized third-party valuation experts, investment bankers, real estate brokers, board expertise, and management forecasts. If our assumptions or estimates prove to be incorrect, our stockholders may ultimately receive substantially more or less in liquidating distributions. We do not plan to resolicit stockholder approval for the Dissolution pursuant to the Plan of Dissolution even if the amount ultimately distributed to our stockholders changes significantly from the estimates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60" w:type="dxa"/>
            <w:vAlign w:val="bottom"/>
            <w:gridSpan w:val="4"/>
          </w:tcPr>
          <w:p>
            <w:pPr>
              <w:ind w:left="2620"/>
              <w:spacing w:after="0"/>
              <w:rPr>
                <w:sz w:val="20"/>
                <w:szCs w:val="20"/>
                <w:color w:val="auto"/>
              </w:rPr>
            </w:pPr>
            <w:r>
              <w:rPr>
                <w:rFonts w:ascii="Times New Roman" w:cs="Times New Roman" w:eastAsia="Times New Roman" w:hAnsi="Times New Roman"/>
                <w:sz w:val="18"/>
                <w:szCs w:val="18"/>
                <w:b w:val="1"/>
                <w:bCs w:val="1"/>
                <w:color w:val="auto"/>
              </w:rPr>
              <w:t>ESTIMATED INITIAL LIQUIDATION DISTRIBUTION TO STOCKHOLDERS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for share and per share amounts)</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45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as of March 31, 2026</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Proceeds, Expenses and Cash Reserves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of accounts receivable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proceeds from sale of manufacturing equipment and related intellectual property</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proceeds from sale of land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45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after March 31, 2026(1)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other debt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government R&amp;D program debt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severance/retention amounts for employees(2)</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MIP Payout(3)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liabilities(4)</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potential or unanticipated claims and contingencies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459"/>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cash to distribute to stockholders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4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shares outstanding(6)</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5,502,770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5,502,770</w:t>
            </w:r>
          </w:p>
        </w:tc>
      </w:tr>
      <w:tr>
        <w:trPr>
          <w:trHeight w:val="45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Initial Liquidation Distribution per share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-4234180</wp:posOffset>
            </wp:positionV>
            <wp:extent cx="111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-4234180</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1637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line="302" w:lineRule="auto"/>
        <w:tabs>
          <w:tab w:leader="none" w:pos="32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operating expenses following March 31, 2026, for personnel and other expenses to conduct our wind-up operations but exclusive of all other line items specifically allocated in the table above.</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severance costs for employees involved in wind up operations.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Management Incentive Payout based upon the criteria outlined on page 39 of this proxy.</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accounts payable and accrued liabilities as of March 31,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6"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range of cash use for the purchase of insurance, including directors’ and officers’ liability insurance covering a six-year extended reported period.</w:t>
      </w:r>
    </w:p>
    <w:p>
      <w:pPr>
        <w:spacing w:after="0" w:line="2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5,502,770 shares of common stock outstanding as of May 8, 2026.</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Sales Assumed in the Initial Liquidation Distribution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Liquidation Distribution assumes sales of certain categories of assets described generally below. We expect to sell all of our assets for cash. For certain of our assets, like our caps and closures equipment and intellectual property, our sales strategy is to run a formal sales process for these assets as a package. We are targeting a number of well-capitalized closure companies with the means to fully implement our 100% PET solution in the $65 billion market, which we expect will maximize the price paid for our technology and related assets through a competitive bidding process. We intend to apply the same strategy to sell our Origin 1 manufacturing facility in Sarnia, Ontario, Canada and related furanics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asset category consists of gross accounts receivable of $10.8 million at March 31, 2026 associated with two customers of our supply chain activation business. Net of reserves for doubtful accounts, these receivables totaled $5.4 million as of March 31, 2026. Failure to collect these receivables could adversely affect our ultimate cash balance available for distribution to stockholders in the Dissolution.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Equipment and Related 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category consists of tangible and intangible assets including our caps and closures manufacturing equipment and related caps and closures intellectual property. Our sales strategy aims to sell these assets together as a package to a strategic commercial entity with the means to develop, implement and commercialize our caps and closures technology. If we are unable to sell these assets as a package we would expect to realize significantly fewer proceeds upon their sale. This category also includes the Origin 1 manufacturing facility in Canada and related furanics intellectual property. Origin 1 sits on approximately two acres of land and contains an analytical laboratory and office space. We have significant debt obligations with respect to our Origin 1 manufacturing facility under a Canadian government program. If we are unable to sell Origin 1 and related furanics intellectual property as a package that includes the assumption of our debt obligations, or the net proceeds of the sale are insufficient to repay in full our debt obligations, our ultimate cash balance available for distribution to stockholders in the Dissolution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Land for sale represents approximately 152 acres of industrial property located in Geismar. Louisiana, which currently is listed for sale at $70,000 per acre. Estimated amounts represent sale of the property net of real estate commissions and possible incentive discounts. A third-party appraisal and recent local real estate benchmark activity suggests the current list price represents fair market value; however, we cannot guarantee that we will ultimately sell such property at its current list price or when we will consummate such sale. We may be forced to lower the sale price or offer additional sales incentives to sell such property, which would adversely affect the cash balance available for distribution to stockholders in the Dissolution.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amount of cash ultimately distributed to our stockholders in the Initial Liquidation Distribution depends in part on the accuracy of the assumptions and estimates set forth above. We have attempted to make reasonable estimates and assumptions; however, if any of such estimates or assumptions are inaccurate, the amount we distribute to our stockholders may be substantially less than the amount we currently estimate. For additional information, please refer to the section titled “Risk Factors” beginning on page 19 of this proxy statement.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unable to predict the precise amount or timing of any additional liquidating distributions following the Initial Liquidation Distribution.The timing and amount of any such additional liquidating distributions will depend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actual expenses incurred, the timing of the resolution of matters for which we have established the contingency reserve, the amount to be paid in satisfaction of such contingencies as well as our ability to convert our remaining assets to cash. Although our Board of Directors has not established a firm timetable for the liquidating distributions, subject to contingencies inherent in winding up our business, our Board of Directors intends to make such distributions as promptly as practicable. Subject to the requirements of Delaware law, we expect to make a final distribution prior to the third anniversary of the Dissolution.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Employees and Consultants</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During the Survival Period, we may select, retain, hire, employ or contract with employees, consultants, agents, trustees, independent professional advisors (including legal counsel, accountants and financial advisors) and others, as the Board of Directors may determine, from time to time, to be necessary or advisable to effect the Dissolution as described in our Plan of Dissolution. The Board of Directors expects that during the Dissolution, the number of employees of Origin Materials will be reduced substantially following the Effective Time and as our various assets are disposed of in accordance with our Plan of Dissolution. The Board of Directors also expects that outside legal and financial advisors will be retained to assist with the Dissolution.</w:t>
      </w:r>
    </w:p>
    <w:p>
      <w:pPr>
        <w:spacing w:after="0" w:line="1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filing the Certificate of Dissolution, most members of the Board of Directors are expected to resign, and the Board of Directors expects it will reduce the size of the Board of Directors accordingly to save costs.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in the absolute discretion of the Board of Directors, pay our officer, directors, employees, consultants, agents and other representatives, compensation or additional compensation above their regular compensation, including pursuant to severance and retention agreements, in money or other property, in recognition of the extraordinary efforts they will be required to undertake in connection with the implementation of the Plan of Dissolution. Refer to “Interests of Directors and Executive Officers in Approval of the Plan of Dissolution”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pay all costs and expenses that the Board of Directors may determine from time to time to be necessary or advisable to effect the Dissolution in accordance with the Plan of Dissolution and as may be necessary or advisable to continue our existence and operations. These costs and expenses may include, without limitation, brokerage, agency, professional, consulting and other fees and expenses of persons rendering services to Origin Materials in connection with the matters described in the Plan of Dissolution and costs incurred to comply with contracts to which we are a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continue to indemnify our officer, directors, employees and agents in accordance with, and to the extent required or permitted by, the DGCL, our certificate of incorporation, our bylaws and any contractual arrangements, whether these arrangements existed before the Dissolution or were entered into after the Dissolution. During the Survival Period, acts and omissions of any indemnified or insured person in connection with the implementation of the Plan of Dissolution will be covered to the same extent that they were covered before the Effective Time. The Board of Directors is authorized to obtain and maintain insurance as may be necessary to cover our indemnification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Authorization of the Dissolution by the holders of a majority of the outstanding stock of Origin Materials entitled to vote thereon shall constitute approval of all matters described in this proxy statement relating to the Dissolution, including our Plan of Dissolution. Authorization of the Dissolution by the holders of a majority of the outstanding stock of Origin Materials shall constitute the authorization of the sale, exchange or other disposition in liquidation of all of the remaining property and assets of Origin Materials after the Effective Time, whether the sale, exchange or other disposition occurs in one transaction or a series of transactions, and shall constitute ratification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and all contracts for sale, exchange or other disposition that are conditioned on stockholder approval. It is not anticipated that any further stockholder votes will be solicited with respect to the approval of the specific terms of any particular sales of assets approved by the Board of Directors. We note that we have not solicited, and do not intend to solicit, affiliates to purchase our assets as part of the Plan of Dissolution. The Plan of Dissolution is not intended as a “going private transaction” within the meaning of Rule 13e-3 under the Exchange Act. In the event that our plans change, and we engage in a transaction identified in Rule 13e-3 with an affiliate, we would comply with the requirements of Rule 13e-3, including filing a Schedule 13e-3.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Dissolution, we will need to take actions with respect to each of our direct and indirect subsidiaries, based on the advice and counsel of our legal and other advisors and in accordance with the requirements of the laws and charter documents governing each subsidiary, to liquidate, dissolve or otherwise wind up each such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Contingency Reserve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In addition, we currently estimate that we will establish a reserve for unanticipated claims of approximately $2.0 million, which will be used to satisfy contingent and unknown liabilities as they become due. 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After the liabilities, expenses and obligations for which the contingency reserve is established have been satisfied or resolved in full, we will distribute any remaining portion of the contingency reserve.</w:t>
      </w:r>
    </w:p>
    <w:p>
      <w:pPr>
        <w:spacing w:after="0" w:line="18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were held by a court to have failed to make adequate provision for our expenses and liabilities or if the amount required to be paid in respect of such liabilities exceeded the amount available from the contingency reserve and the assets of the liquidating trust or trusts, a creditor of ours could seek an injunction against the making of liquidating distributions under the Plan of Dissolution on the grounds that the amounts to be distributed were needed to provide for the payment of our expenses and liabilities. Any such action could delay or substantially diminish the cash distributions to be made to stockholders under the Plan of Dissolution.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defend any claims against Origin Materials, our officers or directors or our subsidiaries, whether a claim exists before the Effective Time or is brought during the Survival Period, based on advice and counsel of our legal and other advisors and in such manner, at such time and with such costs and expenses as our Board of Directors may approve from time to time. During the Survival Period, we may continue to prosecute any claims that we had against others before the Effective Time and may institute any new claims against any person as the Board of Directors may determine necessary or advisable to protect us and our assets and rights or to implement the Plan of Dissolution. At the Board of Directors’ discretion, we may defend, prosecute or settle any lawsuits,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claims arising from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of the Company; Final Record Date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 The trading market for our common stock may be limited prior to the Final Record Date. See “- Description of the Plan of Dissolution and Dissolution Process - Listing and Trading of the Common Stock and Interests in the Liquidating Trust or Trusts.”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Initial Liquidation Distribution will be made to stockholders of record as of the Final Record Date according to their holdings of common stock as of the Final Record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and Trading of the 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 See “Risk Factors - We intend to close our stock transfer books at the close of business on the date we file the Certificate of Dissolution with the Delaware Secretary of State, after which it will not be possible for stockholders to publicly trade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Unclaimed 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any distribution to a stockholder cannot be made, whether because the stockholder cannot be located, has not surrendered a certificate evidencing ownership of our common stock or provided other evidence of ownership as required in the Plan of Dissolution or by the Board of Directors or for any other reason, the distribution to which the stockholder is otherwise entitled will be transferred, at such time as the final liquidating distribution is made by us, or as soon as practicable after that distribution, to the official of such state or other jurisdiction authorized by applicable law to receive the proceeds of the distribution. The proceeds of such distribution will thereafter be held solely for the benefit of and for ultimate distribution to the stockholder as the sole equitable owner of the distribution and will be treated as abandoned property and escheat to the applicable state or other jurisdiction in accordance with applicable law. The proceeds of any such distribution will not revert to or become the property of Origin Materials or any other stockholder.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Liquidating Trust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do not currently propose transferring our assets to a liquidating trust, we may do so if deemed appropriate by our Board of Directors, based on advice of our legal, tax and accounting advisors. We may, for example, transfer assets to a liquidating trust if we are unable to complete the Dissolution within the initial three-years of the Survival Period.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anticipated that the interests in any liquidating trust or trusts will not be transferable, although no determination has yet been made. Such determination will be made by the Board of Directors and management prior to the transfer of unsold assets to any liquidating trust and will be based on, among other things, the Board of Directors’ and management’s estimate of the value of the assets being transferred to the liquidating trust or trusts, tax matters and the impact of compliance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costs of compliance with such requirements would reduce the amount which otherwise could be distributed to interest holders.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As stockholders will be deemed to have received a liquidating distribution equal to their pro rata share of the value of the net assets distributed to an entity which is treated as a liquidating trust for tax purposes (see “Material U.S. Federal Income Tax Consequences of the Dissolution”), the distribution of non-transferable interests could result in tax liability to the interest holders without their being readily able to realize the value of such interests to pay such taxes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Abandonment, Exceptions, Modifications, Clarifications and Amendments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authorization of the Dissolution by our stockholders as described in this proxy statement, our Board of Directors will have the right, as permitted by the DGCL, to abandon the Dissolution at any time before it becomes effective and terminate our Plan of Dissolution, without any action by our stockholders, if our Board of Directors determines that to do so is in the best interest of Origin Materials and our stockholders. Without further action by our stockholders, our Board of Directors may, to the extent permitted by Delaware law, waive, modify or amend any part of our Plan of Dissolution, and may provide for exceptions to or clarifications of the terms of our Plan of Dissolution. After the Certificate of Dissolution has been filed, revocation of the Dissolution would require stockholder approval under Delaware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DGCL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Survival Period, we will continue to be governed by our certificate of incorporation and bylaws, insofar as their terms apply and insofar as necessary or appropriate to implement our Plan of Dissolution. Our Board of Directors will continue to have the authority to amend our bylaws as it may deem necessary or advisable. To any extent that the provisions of our Plan of Dissolution conflict with any provision of the DGCL, the provisions of the DGCL shall prevail.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incentive plans, under which all options to acquire shares of our common stock have been granted, all outstanding options, whether currently vested or unvested, will accelerate and terminate immediately prior to a dissolution of Origin Materials. We will give notice to holders of outstanding stock options of our plans to dissolve and liquidate, and allow these holders to exercise their vested stock options prior to our dissolution. Unless and until an option is exercised and payment of the applicable exercise price is made, option holders are not entitled to any cash distributions with respect to their options payable under the Plan of Dissolution.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terminate all our equity incentive plans effective upon the Dissolution, and all equity awards that remain outstanding and unvested upon the Dissolution will be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 and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specifically contemplated that we will obtain legal and accounting advice and guidance from one or more law and accounting firms in implementing the Plan of Dissolution, and we will pay all fees and expenses reasonably incurred by us in connection with or arising out of the implementation of the Plan of Dissolution, including the liquidation and dissolution of our subsidiaries, the prosecution, defense, settlement or other resolution of any claims or suits by or against us, the discharge, filing and disclosure of outstanding obligations, liabilities and claims, filing and resolution of claims with local, county, state and federal tax authorities, and the advancement and reimbursement of any fees and expenses payable by us pursuant to the indemnification we provide in our certificate of incorporation and bylaws, the DGCL or otherwise. In addition, in connection with and for the purpose of implementing and assuring completion of the Plan of Dissolution, we may, in the absolute discretion of the Board of Directors, pay any brokerage, agency, professional and other fees and expenses of persons rendering services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collection, sale, exchange or other disposition of our property and assets and the implementation of the Plan of Dissolution.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Authority of the Board of Directors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without further action by our stockholders, is authorized to take, or cause management to take, all actions as they deem necessary or advisable to implement our Plan of Dissolution. All determinations and decisions to be made by our Board of Directors will be at the absolute and sole discretion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in Approval of the Plan of Dissolution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Members of our Board of Directors and our executive officers may have interests in the approval of the Plan of Dissolution that are different from, or are in addition to, the interests of our stockholders generally. Our Board of Directors was aware of these interests and considered them, among other matters, in approving the Plan of Dissolution.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liquidating distributions, the members of our Board of Directors and our executive officers will be entitled to the same cash distributions as our stockholders based on their ownership of shares of our common stock, which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Retention Benefits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decision to proceed with the Plan of Dissolution, John Bissell stepped down as our Chief Executive Officer, effective May 1, 2026. Mr. Bissell will continue to serve as a director on the Board of Directors. Mr. Bissell is entitled to certain severance payments pursuant to his Executive Officer Retention Agreement, dated March 9, 2026. Mr. Bissell has provided us with a release of claims covering the period of his employment and will therefore receive a severance payment equivalent to four months of his base salary plus four months of premiums under the Consolidated Omnibus Budget Reconciliation Act of 1985, as amended, or COBRA, less applicable withholdings and deductions.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retain their services implementing the Plan of Dissolution, Matt Plavan, our Interim Chief Executive Officer, Chief Financial Officer, and Chief Operating Officer, and Joshua Lee our General Counsel and Chief Compliance Officer, each entered into an Amended and Restated Executive Officer Retention Agreement and General Release, dated May 1, 2026. Pursuant to these agreements, Messrs. Plavan and Lee each provided us with a release of claims covering the period of their employment through the effective date of the agreement, and therefore are entitled to:</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increase to their respective base salary;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retention bonus, such amount equal to six months of their respective base salaries and six months of COBRA benefits premiums, paid 20% in the last pay period of each month for up to four months, with the final payment of 20% paid upon the termination of Messrs. Plavan's and Lee's employment, other than for cause, provided that each timely signs and provides us with an effective release of claims covering the period from May 1, 2026 through the date of terminations.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the event Mr. Plavan or Mr. Lee is terminated other than for cause prior to receiving one or more of the four monthly payments, their final payment upon termination will include such payments in addition to the final 20% payment. Messrs. Plavan and Lee will not be eligible for any additional or separate severance payments or the acceleration of any outstanding equity awards.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severance and retention benefits our executive officers are entitled to receive.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vMerge w:val="restart"/>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COBRA</w:t>
            </w:r>
          </w:p>
        </w:tc>
        <w:tc>
          <w:tcPr>
            <w:tcW w:w="220" w:type="dxa"/>
            <w:vAlign w:val="bottom"/>
          </w:tcPr>
          <w:p>
            <w:pPr>
              <w:spacing w:after="0"/>
              <w:rPr>
                <w:sz w:val="13"/>
                <w:szCs w:val="13"/>
                <w:color w:val="auto"/>
              </w:rPr>
            </w:pPr>
          </w:p>
        </w:tc>
        <w:tc>
          <w:tcPr>
            <w:tcW w:w="18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12"/>
                <w:szCs w:val="12"/>
                <w:color w:val="auto"/>
              </w:rPr>
            </w:pPr>
          </w:p>
        </w:tc>
        <w:tc>
          <w:tcPr>
            <w:tcW w:w="2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Severance/Retention</w:t>
            </w:r>
          </w:p>
        </w:tc>
        <w:tc>
          <w:tcPr>
            <w:tcW w:w="220" w:type="dxa"/>
            <w:vAlign w:val="bottom"/>
          </w:tcPr>
          <w:p>
            <w:pPr>
              <w:spacing w:after="0"/>
              <w:rPr>
                <w:sz w:val="12"/>
                <w:szCs w:val="12"/>
                <w:color w:val="auto"/>
              </w:rPr>
            </w:pPr>
          </w:p>
        </w:tc>
        <w:tc>
          <w:tcPr>
            <w:tcW w:w="206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Additional Base Salary</w:t>
            </w:r>
          </w:p>
        </w:tc>
        <w:tc>
          <w:tcPr>
            <w:tcW w:w="2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vMerge w:val="continue"/>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Bissell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vMerge w:val="continue"/>
          </w:tcPr>
          <w:p>
            <w:pPr>
              <w:spacing w:after="0"/>
              <w:rPr>
                <w:sz w:val="19"/>
                <w:szCs w:val="19"/>
                <w:color w:val="auto"/>
              </w:rPr>
            </w:pPr>
          </w:p>
        </w:tc>
        <w:tc>
          <w:tcPr>
            <w:tcW w:w="206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2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9,815</w:t>
            </w:r>
          </w:p>
        </w:tc>
        <w:tc>
          <w:tcPr>
            <w:tcW w:w="220" w:type="dxa"/>
            <w:vAlign w:val="bottom"/>
            <w:vMerge w:val="continue"/>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109,815</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Plavan</w:t>
            </w:r>
          </w:p>
        </w:tc>
        <w:tc>
          <w:tcPr>
            <w:tcW w:w="220" w:type="dxa"/>
            <w:vAlign w:val="bottom"/>
          </w:tcPr>
          <w:p>
            <w:pPr>
              <w:spacing w:after="0"/>
              <w:rPr>
                <w:sz w:val="19"/>
                <w:szCs w:val="19"/>
                <w:color w:val="auto"/>
              </w:rPr>
            </w:pPr>
          </w:p>
        </w:tc>
        <w:tc>
          <w:tcPr>
            <w:tcW w:w="20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175,000</w:t>
            </w:r>
          </w:p>
        </w:tc>
        <w:tc>
          <w:tcPr>
            <w:tcW w:w="220" w:type="dxa"/>
            <w:vAlign w:val="bottom"/>
          </w:tcPr>
          <w:p>
            <w:pPr>
              <w:spacing w:after="0"/>
              <w:rPr>
                <w:sz w:val="19"/>
                <w:szCs w:val="19"/>
                <w:color w:val="auto"/>
              </w:rPr>
            </w:pPr>
          </w:p>
        </w:tc>
        <w:tc>
          <w:tcPr>
            <w:tcW w:w="206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8,618</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183,618</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Lee</w:t>
            </w:r>
          </w:p>
        </w:tc>
        <w:tc>
          <w:tcPr>
            <w:tcW w:w="220" w:type="dxa"/>
            <w:vAlign w:val="bottom"/>
          </w:tcPr>
          <w:p>
            <w:pPr>
              <w:spacing w:after="0"/>
              <w:rPr>
                <w:sz w:val="19"/>
                <w:szCs w:val="19"/>
                <w:color w:val="auto"/>
              </w:rPr>
            </w:pPr>
          </w:p>
        </w:tc>
        <w:tc>
          <w:tcPr>
            <w:tcW w:w="2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145,000</w:t>
            </w:r>
          </w:p>
        </w:tc>
        <w:tc>
          <w:tcPr>
            <w:tcW w:w="220" w:type="dxa"/>
            <w:vAlign w:val="bottom"/>
          </w:tcPr>
          <w:p>
            <w:pPr>
              <w:spacing w:after="0"/>
              <w:rPr>
                <w:sz w:val="19"/>
                <w:szCs w:val="19"/>
                <w:color w:val="auto"/>
              </w:rPr>
            </w:pPr>
          </w:p>
        </w:tc>
        <w:tc>
          <w:tcPr>
            <w:tcW w:w="206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5,798</w:t>
            </w:r>
          </w:p>
        </w:tc>
        <w:tc>
          <w:tcPr>
            <w:tcW w:w="220" w:type="dxa"/>
            <w:vAlign w:val="bottom"/>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17" w:lineRule="exact"/>
        <w:rPr>
          <w:sz w:val="20"/>
          <w:szCs w:val="20"/>
          <w:color w:val="auto"/>
        </w:rPr>
      </w:pPr>
    </w:p>
    <w:p>
      <w:pPr>
        <w:ind w:left="660" w:hanging="328"/>
        <w:spacing w:after="0" w:line="282" w:lineRule="auto"/>
        <w:tabs>
          <w:tab w:leader="none" w:pos="5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Plavan is entitled to $7,291.66 per month of additional base salary commencing May 1, 2026 through the date of termination of employment. Such aggregate amount is indeterminable as of the date of this proxy statement.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Lee is entitled to $6,041.66 per month of additional base salary commencing May 1, 2026 through the date of termination of employment. Such aggregate amount is indeterminable as of the date of this proxy statement.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Plan of Dissolution, the Board of Directors has approved a Management Incentive Plan (the “MIP”), designed to incentivize our executive officers and employees to maximize the proceeds from the sale of our technology and assets. Mr. Bissell is not eligible to participate in the MIP.</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the MIP, a bonus pool will begin to accrue as we sell our assets, but no bonus payments will be made to participants in the MIP unless and until our (i) obligations to secured and unsecured creditors have been satisfied and (ii) we have made a liquidation distribution to our stockholders of at least $1.00 per share ((i) and (ii), the "Bonus Conditions"). Once the Bonus Conditions have been satisfied, bonus payments will be made to participants in the MIP until the bonus pool accrued to that point has been exhausted, after which point the bonus pool will continue to accrue and be paid out pro rata with distributions to shareholders. The bonus pool will begin accruing at a rate of 2% of gross asset value ("GAV") (that is, the gross proceeds from the sale of assets), and the rate will increase with respect to the portion of GAV that exceeds certain thresholds: to 3% for the portion of GAV above $25 million, 4% above $50 million, 5% above $60 million, 8% above $70 million, and finally 9% for that portion of GAV that exceeds $80 million. Bonus payments, if any, will be allocated between our eligible executive officers and other employees. Our eligible executive officers may receive an aggregate maximum of 25% of the bonus pool with 2.5% of this amount reallocated to certain non-executive employees for every $5 million by which the GAV obtained for Origin's intellectual property exceeds $5 million. Neither of our executive officers may receive payment of more than $500,000 pursuant to the MIP. Participants in the MIP who voluntarily resign or are terminated for cause will not be eligible to receive a bonus payment.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we achieved the low estimate of the Initial Liquidation Distribution, Messrs. Plavan and Lee would not be entitled to receive bonus payments pursuant to the MIP. In the event we achieved the high estimate of the Initial Liquidation Distribution, Messrs. Plavan and Lee would be entitled to receive bonus payments pursuant to the MIP in the amounts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Bonus Pool</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Bonus Percentage</w:t>
            </w:r>
          </w:p>
        </w:tc>
        <w:tc>
          <w:tcPr>
            <w:tcW w:w="3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Bonus Amount</w:t>
            </w: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 Plavan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1,491,950</w:t>
            </w:r>
          </w:p>
        </w:tc>
        <w:tc>
          <w:tcPr>
            <w:tcW w:w="3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372,988</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Lee</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1,491,950</w:t>
            </w:r>
          </w:p>
        </w:tc>
        <w:tc>
          <w:tcPr>
            <w:tcW w:w="3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Ownership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Members of our Board of Directors and our executive officers own, as of the date of this filing, an aggregate of 115,691 shares of our outstanding common stock and RSUs (both vested and unvested) for 27,777 shares of common stock as follows: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440" w:type="dxa"/>
            <w:vAlign w:val="bottom"/>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440" w:type="dxa"/>
            <w:vAlign w:val="bottom"/>
          </w:tcPr>
          <w:p>
            <w:pPr>
              <w:jc w:val="center"/>
              <w:ind w:left="2268"/>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 RSUs Held</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vMerge w:val="continue"/>
          </w:tcPr>
          <w:p>
            <w:pPr>
              <w:spacing w:after="0"/>
              <w:rPr>
                <w:sz w:val="17"/>
                <w:szCs w:val="17"/>
                <w:color w:val="auto"/>
              </w:rPr>
            </w:pPr>
          </w:p>
        </w:tc>
        <w:tc>
          <w:tcPr>
            <w:tcW w:w="4440" w:type="dxa"/>
            <w:vAlign w:val="bottom"/>
            <w:tcBorders>
              <w:bottom w:val="single" w:sz="8" w:color="auto"/>
            </w:tcBorders>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Stock Held</w:t>
            </w:r>
          </w:p>
        </w:tc>
        <w:tc>
          <w:tcPr>
            <w:tcW w:w="2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6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Bissell</w:t>
            </w:r>
          </w:p>
        </w:tc>
        <w:tc>
          <w:tcPr>
            <w:tcW w:w="30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48,932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 Plavan</w:t>
            </w:r>
          </w:p>
        </w:tc>
        <w:tc>
          <w:tcPr>
            <w:tcW w:w="3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22,792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w:t>
            </w:r>
          </w:p>
        </w:tc>
      </w:tr>
      <w:tr>
        <w:trPr>
          <w:trHeight w:val="27"/>
        </w:trPr>
        <w:tc>
          <w:tcPr>
            <w:tcW w:w="60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Lee</w:t>
            </w:r>
          </w:p>
        </w:tc>
        <w:tc>
          <w:tcPr>
            <w:tcW w:w="3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12,230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Kathleen B. Fish</w:t>
            </w:r>
          </w:p>
        </w:tc>
        <w:tc>
          <w:tcPr>
            <w:tcW w:w="3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9,273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7"/>
        </w:trPr>
        <w:tc>
          <w:tcPr>
            <w:tcW w:w="60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J. Harvey</w:t>
            </w:r>
          </w:p>
        </w:tc>
        <w:tc>
          <w:tcPr>
            <w:tcW w:w="3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5,690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Hickox</w:t>
            </w:r>
          </w:p>
        </w:tc>
        <w:tc>
          <w:tcPr>
            <w:tcW w:w="3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3,698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w:t>
            </w:r>
          </w:p>
        </w:tc>
      </w:tr>
      <w:tr>
        <w:trPr>
          <w:trHeight w:val="27"/>
        </w:trPr>
        <w:tc>
          <w:tcPr>
            <w:tcW w:w="60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Craig A. Rogerson</w:t>
            </w:r>
          </w:p>
        </w:tc>
        <w:tc>
          <w:tcPr>
            <w:tcW w:w="3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Stephanou</w:t>
            </w:r>
          </w:p>
        </w:tc>
        <w:tc>
          <w:tcPr>
            <w:tcW w:w="3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7"/>
        </w:trPr>
        <w:tc>
          <w:tcPr>
            <w:tcW w:w="60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Tony Tripeny</w:t>
            </w:r>
          </w:p>
        </w:tc>
        <w:tc>
          <w:tcPr>
            <w:tcW w:w="3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13,076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(9 persons)</w:t>
            </w:r>
          </w:p>
        </w:tc>
        <w:tc>
          <w:tcPr>
            <w:tcW w:w="3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115,691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“Security Ownership of Certain Beneficial Owners and Management” for additional information regarding the number of shares of common stock beneficially owned by our directors and executive officers.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all outstanding stock options held by our directors and our executive officers is higher than $4.19 per share. All outstanding options, whether currently vested or unvested, will terminate immediately prior to the effectiveness of the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non-employee director compensation policy, our non-employee directors currently receive annual cash retainers and equity awards for their service on the Board of Directors and committee service. The Board of Directors has elected receive cash retainers in 2026, but will not be granted any equity awards, for Board and committee service during 2026. Pursuant to our non-employee director compensation policy, each non-employee director is entitled to a $50,000 annual cash retainer. The members of Audit Committee, Compensation Committee, Nominating and Corporate Governance Committee, and Operational Excellence Committee are also entitled to an annual cash retainer of $10,000, $5,000, and $5,000, respectively, other than the chair of each such committee, who is entitled to an annual cash retainer of $20,000, $15,000, and $15,000, respectively. The non-employee director compensation policy shall cease and be terminated as of the filing of the certificate of dissolution with the Secretary of State of the State of Delaware.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On May 6, 2026, the Board of Directors approved the acceleration of unvested RSUs held by two of our directors (John Hickox - 3,063 shares; and Jim Stephanou - 342 shares). The RSUs will be settled and the shares issued thereunder on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resignation of such director.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Dissolution, we will continue to indemnify our directors and officer to the maximum extent permitted in accordance with applicable law, our certificate of incorporation and bylaws, and any contractual arrangements, for actions taken in connection with the Plan of Dissolution and the winding up of our business and affairs. Our Board of Directors is authorized to obtain and maintain insurance as may be necessary, appropriate or advisable to cover such indemnification obligations, including seeking an extension in time and coverage of our insurance policies currently in effect.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benefits, our directors and executive officers generally could be more likely to vote to approve the Plan of Dissolution, including the Dissolution contemplated thereby, than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Dissolution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Dissolution to U.S. Holders and Non-U.S. Holders (each as defined below and, collectively, Holders),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the special tax accounting rules under Section 451(b) of the Code, or the alternative minimum tax. In addition, this discussion does not address tax consequences relevant to Holders subject to special rules, including, without limitation:</w:t>
      </w:r>
    </w:p>
    <w:p>
      <w:pPr>
        <w:spacing w:after="0" w:line="18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or international or governmental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receive our common stock pursuant to the exercise of any employee stock option or otherwise as compensation;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stock (by vote or value).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IS NOT TAX ADVICE. HOLDERS SHOULD CONSULT THEIR TAX ADVISORS WITH RESPECT TO THE APPLICATION OF U.S. FEDERAL INCOME TAX LAWS TO THEIR PARTICULAR SITUATIONS AS WELL AS ANY TAX CONSEQUENCES OF THE DISSOLUTION ARISING UNDER U.S. FEDERAL ESTATE OR GIFT TAX LAWS, THE LAWS OF ANY STATE, LOCAL, OR NON-U.S. TAXING JURISDICTION, OR ANY APPLICABLE INCOME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 and Non-U.S. Holder</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common stock that is not an entity treated as a partnership for U.S. federal income tax purposes and that, for U.S. federal income tax purposes, is:</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“United States persons” (within the meaning of Section 7701(a)(30) of the Code) have authority to control all substantial decisions of the trust, or (2) the trust has a valid election in effect to be treated as a United States person under applicable Treasury Regulations.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Holder nor an entity treated as a partnership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Dissolution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for distributions made pursuant to the Plan of Dissolution to be treated as a series of distributions in complete liquidation of Origin Materials governed under Section 331 of the Code, and this discussion assumes that such treatment will be respected.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 Consequences of the Dissolution to the Company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will recognize gain or loss equal to the difference, if any, between the fair market value of any non-cash asset we distribute pursuant to the Plan of Dissolution, and our adjusted tax basis in such asset. If a stockholder assumes a liability in connection with the Dissolution, the discharge of such liability in the Dissolution may increase our recognized gain.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until all of our assets have been distributed pursuant to the Plan of Dissolution and the Dissolution is complete, we will continue to be subject to U.S. federal income tax on our income, if any, such as interest income. We generally will also recognize gain or loss, if any, upon the sale of any of our assets in connection with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Dissolution equal to the difference, if any, between (x) the fair market value of the consideration received for such assets and (y) our adjusted tax basis in such assets. Any of the foregoing tax liabilities will reduce the cash available for distribution pursuant to the Plan of Dissolution.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should consult their tax advisors regarding the tax consequences of the Dissolution to Origin Materials and any resulting impact to Holders in their particular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Income Tax Consequences of the Dissolution to Holders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Holder generally will be treated as receiving its portion of distributions made pursuant to the Plan of Dissolution in exchange for its shares of our common stock. If a Holder holds different blocks of shares of our common stock (generally, shares of our common stock purchased or acquired on different dates or at different prices), the Holder’s portion of such distributions must be allocated among the several blocks of shares in the proportion that the number of shares in a particular block bears to the total number of shares owned by the Holder.</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U.S. Holders</w:t>
      </w:r>
      <w:r>
        <w:rPr>
          <w:rFonts w:ascii="Times New Roman" w:cs="Times New Roman" w:eastAsia="Times New Roman" w:hAnsi="Times New Roman"/>
          <w:sz w:val="18"/>
          <w:szCs w:val="18"/>
          <w:color w:val="auto"/>
        </w:rPr>
        <w:t>. Distributions made pursuant to the Plan of Dissolution to a U.S. Holder will be treated as received by the U.S. Holder in exchange for the U.S. Holder’s shares of our common stock. The amount of any such distributions will reduce the U.S. Holder’s adjusted tax basis in such shares, but not below zero. Any excess will be treated as capital gain, while any adjusted tax basis remaining in such shares following the final distribution made pursuant to the Plan of Dissolution will be treated as a capital loss. Any such gain or loss generally will be long-term capital gain or loss, respectively, if such shares have been held for more than one year. Certain stockholders including individuals, may qualify for preferential tax rates on long-term capital gains. The deductibility of capital losses is subject to limitations. Any such gain or loss generally will be computed on a “per share” basis.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IRS or a court could challenge our valuation of any non-cash asset distributed to a U.S. Holder pursuant to the Plan of Dissolution, which could change the amount of gain or loss recognized by the U.S. Holder. A U.S. Holder’s adjusted tax basis in any non-cash asset distributed to the U.S. Holder pursuant to the Plan of Dissolution immediately after such distribution will be the fair market value of such asset at the time of distribution. Distributions of non-cash assets pursuant to the Plan of Dissolution could result in a U.S. Holder having a tax liability in excess of the amount of cash distributed to the U.S. Holder pursuant to the Plan of Dissolution, which would require the U.S. Holder to satisfy such tax liability from other sources or by selling all or a portion of such non-cash assets.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the Dissolution in their particular circumstances.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Non-U.S. Holders</w:t>
      </w:r>
      <w:r>
        <w:rPr>
          <w:rFonts w:ascii="Times New Roman" w:cs="Times New Roman" w:eastAsia="Times New Roman" w:hAnsi="Times New Roman"/>
          <w:sz w:val="18"/>
          <w:szCs w:val="18"/>
          <w:color w:val="auto"/>
        </w:rPr>
        <w:t>. Distributions made pursuant to the Plan of Dissolution to a Non-U.S. Holder will be treated as received by the Non-U.S. Holder in exchange for the Non-U.S. Holder’s shares of our common stock. The amount of any such distributions will reduce the Non-U.S. Holder’s adjusted tax basis in such shares, but not below zero. Any excess will be treated as capital gain. A Non-U.S. Holder generally will not be subject to U.S. federal income tax on any such gain unless:</w:t>
      </w:r>
    </w:p>
    <w:p>
      <w:pPr>
        <w:spacing w:after="0" w:line="180"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applicable distribution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or USRPHC, for U.S. federal income tax purposes during the shorter of the five-year period ending on the date of the applicable distribution or the Non-U.S. Holder’s holding period in the Non-U.S. Holder’s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applicable to United States persons. If the Non-U.S. Holder is a corporation, the Non-U.S. Holder also may be subject to a branch profits tax at a rate of 30% (or such lower rate specified by an applicable income tax treaty) on the Non-U.S. Holder’s effectively connected earnings and profits.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that the Non-U.S. Holder has timely filed U.S. federal income tax returns with respect to such losses.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gain described in the third bullet point above, the determination of whether we are a USRPHC depends on the fair market value of our “United States real property interests” for U.S. federal income tax purposes relative to the fair market value of our worldwide real property interests and our assets used or held for use in a trade or business. Although we believe we are not currently, and do not anticipate becoming, a USRPHC, there can be no assurance in this regard.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tax consequences of the Dissolution in their particular circumstances, including the applicability of withholding and income tax treaties and our status as a USRPHC.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U.S. Federal Income Tax Treatment of the Dissolution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Notwithstanding our position that distributions made pursuant to the Plan of Dissolution are intended to be treated as a series of distributions in complete liquidation of Origin Materials governed under Section 331 of the Code, it is possible that the IRS or a court could determine that any of such distributions is a current distribution. In addition, if the Dissolution is abandoned or revoked, such distributions would be treated as current distributions. A current distribution would be treated as a dividend for U.S. federal income tax purposes to the extent of our current and accumulated earnings and profits. Amounts not treated as dividends would constitute a return of capital and first be applied against and reduce a Holder’s adjusted tax basis in its shares of our common stock, but not below zero. Any excess would be treated as capital gain. Holders should consult their tax advisors regarding the proper tax treatment of the Dissolution and the resulting tax consequences in their particular circumstances, including the applicability of preferential tax rates, deductions, withholding, and income tax treaties.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the Foreign Account Tax Compliance Act, or 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U.S. tax authorities substantial information regarding certain U.S. account holders of such institution (which includes certain equity and debt holders of such institution, as well as certain account holders that are foreign entities with U.S. owners) or an exemption applies. FATCA also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Proposed Treasury Regulations, if finalized in their present form, would eliminate the U.S. federal withholding tax of 30% applicable to gross proceeds from sales or other dispositions of our common stock. Taxpayers (including applicable withholding agents) generally may rely on such proposed Treasury Regulations until final Treasury Regulations are issued. Holders should consult their tax advisors regarding the application of FATCA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with respect to distributions made pursuant to the Plan of Dissolution. Certain U.S. Holders are exempt from backup withholding, including corporations and certain tax-exempt organizations. A U.S. Holder will be subject to backup withholding if such holder is not otherwise exempt and:</w:t>
      </w:r>
    </w:p>
    <w:p>
      <w:pPr>
        <w:spacing w:after="0" w:line="176" w:lineRule="exact"/>
        <w:rPr>
          <w:sz w:val="20"/>
          <w:szCs w:val="20"/>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applicable withholding agent with the holder’s taxpayer identification number, which for an individual is ordinarily the individual’s social security number;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applicable withholding agent with an incorrect taxpayer identification number;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Non-U.S. Holders, backup withholding generally will not apply if such holder either certifies its non-U.S. status, such as by furnishing a valid IRS Form W-8BEN, W-8BEN-E, or W-8ECI (or applicable successor forms), or otherwise establishes an exemption. Proceeds from a distribution made pursuant to the Plan of Dissolution and received through a non-U.S. office of a non-U.S. broker generally will not be subject to backup withholding or information reporting.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Holder’s U.S. federal income tax liability, provided that the required information is timely furnished to the IRS. Holders should consult their tax advisors regarding their qualification for an exemption from backup withholding, the procedures for obtaining such an exemption, and any other information reporting requirements in connection with the Dissolution (e.g., certain Holders may be required to include certain information with their U.S. federal income tax returns).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common stock should consult with their own tax advisors to determine whether they need to include a statement described in Treasury Regulations Section 1.331-1(d)(2) with their U.S. federal income tax returns for years ending prior to the completion of Origin Material’s complete liquidation.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IS NOT TAX ADVICE. HOLDERS SHOULD CONSULT THEIR TAX ADVISORS REGARDING THE U.S. FEDERAL, STATE, AND LOCAL AND NON-U.S. INCOME AND NON-INCOME TAX CONSEQUENCES OF THE DISSOLUTION IN THEIR PARTICULAR CIRCUMSTANCES, INCLUDING ANY INFORMATION REPORTING REQUIREMENTS, THE APPLICABILITY OF ANY TAX TREATIES, AND THE IMPACT OF ANY CHANGE IN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a Liquidating Trust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transfer our remaining assets and obligations to a liquidating trust if our Board determines that such a transfer is advisable. Under applicable Treasury Regulations, a trust will be treated as a “liquidating trust” if it is organized for the primary purpose of liquidating and distributing the assets transferred to it, and if its activities are all reasonably necessary to and consistent with the accomplishment of that purpose. However, if the liquidation is unreasonably prolonged or if the liquidation purpose becomes so obscured by business activities that the declared purpose of the liquidation can be said to be lost or abandoned, the trust will no longer be considered a liquidating trust and adverse tax consequences may apply to the trust or to Holders. Although neither the Code nor the Treasury Regulations thereunder provide any specific guidance as to the length of time a liquidating trust may last, the IRS’s guidelines for issuing rulings with respect to liquidating trust status call for a term not to exceed three years, which period may be extended to cover the collection of installment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transfer assets to a liquidating trust and distribute interests in the liquidating trust to Holders, we intend that such transfer and distribution would be treated for U.S. federal income tax purposes as if we distributed an interest in each of the assets so transferred directly to such Holders. Each Holder would be treated as receiving a liquidating distribution from us, which would be treated generally as described above.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Assuming that the liquidating trust is treated as a “liquidating trust” for U.S. federal income tax purposes, we intend that the liquidating trust would be treated as a “grantor trust” for U.S. federal income tax purposes. In that case, each unit or interest in the liquidating trust would represent ownership of an undivided proportionate interest in all of the assets and liabilities of the liquidating trust and a Holder would be treated for U.S. federal income tax purposes as receiving or paying, as applicable, directly a pro rata portion of all income, gain, loss, deduction, and credit of the liquidating trust. A Holder would be taxed each year on its share of income from the liquidating trust, net of such Holder’s share of expenses or other amounts that are deductible by such Holder for U.S. federal income tax purposes whether or not such Holder receives a distribution of cash from the liquidating trust that year. When the liquidating trust makes distributions to Holders, the Holders generally would recognize no additional gain or loss.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the liquidating trust is treated as a grantor trust for U.S. federal income tax purposes, a Holder’s adjusted tax basis in a unit of the liquidating trust (and indirectly in the pro rata portion of the net assets in the liquidating trust that are attributable to that unit) would be equal to the fair market value of a unit (and those net assets) on the date that it is treated as distributed to the Holder, which value would be determined by us and reported to the Holder. The long-term or short-term character of any capital gain or loss recognized in connection with the sale of the liquidating trust’s assets would be determined based upon a holding period commencing at the time of the acquisition by a Holder of such Holder’s beneficial interest in the liquidating trust.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trustee or trustees of the liquidating trust would endeavor to provide to each Holder of units in the liquidating trust after each year end a detailed itemized statement that reports on a per unit basis the Holder’s allocable share of all the various categories of income and expense of the liquidating trust for the year. Each Holder must report such items on its U.S. federal income tax return regardless of whether the liquidating trust makes current cash distributions.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liquidating trust fails to qualify as a liquidating trust that is a grantor trust for U.S. federal income tax purposes, the consequences to Holders would depend on the reason for the failure to qualify, and, under certain circumstances, the liquidating trust could be treated as an association taxable as a corporation for U.S. federal income tax purposes. If the liquidating trust is taxable as a corporation, the trust itself would be subject to U.S. federal income tax at the applicable corporate income tax rate. In that case, distributions made by the liquidating trust would be reduced by any such additional taxes imposed on the trust, and a Holder would be subject to tax upon the receipt of distributions that constitute dividends from the trust rather than taking into account its share of the trust’s taxable items on an annual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should consult their tax advisors regarding the tax consequences that would apply to them if we were to transfer assets to a liquidating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of Directors Recommendation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all outstanding shares of common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purpose of the Dissolution Proposal, (i) a failure to vote your shares of common stock (including a failure of your broker, bank or other nominee to vote shares held on your behalf) will also count as a vote “AGAINST” the proposal to adopt the Plan of Dissolution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Dissolution Proposal, whether or not a quorum is present. Shares of Origin Materials’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rules of the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u w:val="single" w:color="auto"/>
          <w:color w:val="auto"/>
        </w:rPr>
        <w:t>In Favor</w:t>
      </w:r>
      <w:r>
        <w:rPr>
          <w:rFonts w:ascii="Times New Roman" w:cs="Times New Roman" w:eastAsia="Times New Roman" w:hAnsi="Times New Roman"/>
          <w:sz w:val="18"/>
          <w:szCs w:val="18"/>
          <w:b w:val="1"/>
          <w:bCs w:val="1"/>
          <w:color w:val="auto"/>
        </w:rPr>
        <w:t xml:space="preserve"> of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ADJOURNMENT OF SPECIAL MEETING TO SOLICIT ADDITIONAL PROXIES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asking you to approve a proposal to adjourn the Special Meeting to a later date or dates if the Board of Directors determines that it is necessary or appropriate, including to solicit additional proxies if there are insufficient votes to approve the Dissolution Proposal at the time of the Special Meeting. If the Board of Directors determines that it is necessary or appropriate, we will ask our stockholders to vote only on this Adjournment Proposal and not to vote on the Dissolution Proposal.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stockholders approve the Adjournment Proposal, we could adjourn the Special Meeting and any adjourned session of the Special Meeting and use the additional time to solicit additional proxies, including soliciting proxies from stockholders who have previously returned properly executed proxies voting against the Dissolution Proposal. Among other things, approval of the Adjournment Proposal could mean that, even if we had received proxies representing a sufficient number of votes against the Dissolution Proposal that the Dissolution Proposal would be defeated, we could adjourn the Special Meeting without a vote on the Dissolution Proposal and seek to convince the holders of those shares to change their votes to votes in favor of approving the Dissolution Proposal. Additionally, we may seek to adjourn the Special Meeting if a quorum is not present or otherwise at the discretion of the chairperson of the Special Meeting.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either (i) if a quorum is present, the affirmative vote of the majority of the shares present in person, by remote communication or represented by proxy duly authorized at the Special Meeting and entitled to vote generally on the subject matter or (ii) if a quorum is not present, the vote of the holders of a majority of the shares represented at the Special Meeting.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purpose of the Adjournment Proposal, (i) a failure to vote virtually or by proxy at the Special Meeting (including failure to give instruction to brokers, banks or other nominees on any of the proposals to be voted on at the Special Meeting for shares held in “street name”) will have no effect on the outcome of the Adjournment Proposal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Adjournment Proposal, whether or not a quorum is present. If your shares are deemed present or represented by proxy at the Special Meeting, then a failure to vote your shares will have no effect on the outcome of the Adjournment Proposal if a quorum is present but will have the same effect as a vote “AGAINST” the Adjournment Proposal if a quorum is not present. Shares of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rules of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u w:val="single" w:color="auto"/>
          <w:color w:val="auto"/>
        </w:rPr>
        <w:t>In Favor</w:t>
      </w:r>
      <w:r>
        <w:rPr>
          <w:rFonts w:ascii="Times New Roman" w:cs="Times New Roman" w:eastAsia="Times New Roman" w:hAnsi="Times New Roman"/>
          <w:sz w:val="18"/>
          <w:szCs w:val="18"/>
          <w:b w:val="1"/>
          <w:bCs w:val="1"/>
          <w:color w:val="auto"/>
        </w:rPr>
        <w:t xml:space="preserve"> of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shares of common stock as of May 22, 2026, by:</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those known by us to be beneficial owners of more than five percent of our shares of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filings with the SEC. Unless otherwise indicated in the footnotes to this table and subject to community property laws where applicable, we believe that each of the stockholders named in this table has sole voting and dispositive power with respect to the shares indicated as beneficially owned. We have deemed shares of common stock subject to options and restricted stock units that are currently exercisable or exercisable within 60 days of May 22,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Applicable percentages are based on 5,503,087 shares outstanding on May 22, 2026, adjusted as required by rules promulgated by the SEC. Except as set forth below, the principal business address of each such person or entity is c/o Origin Materials Inc., 930 Riverside Parkway, Suite 10, West Sacramento, California 95605</w:t>
      </w:r>
      <w:r>
        <w:rPr>
          <w:rFonts w:ascii="Times New Roman" w:cs="Times New Roman" w:eastAsia="Times New Roman" w:hAnsi="Times New Roman"/>
          <w:sz w:val="18"/>
          <w:szCs w:val="18"/>
          <w:b w:val="1"/>
          <w:bCs w:val="1"/>
          <w:color w:val="auto"/>
        </w:rPr>
        <w:t>.</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9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6900" w:type="dxa"/>
            <w:vAlign w:val="bottom"/>
          </w:tcPr>
          <w:p>
            <w:pPr>
              <w:spacing w:after="0"/>
              <w:rPr>
                <w:sz w:val="18"/>
                <w:szCs w:val="18"/>
                <w:color w:val="auto"/>
              </w:rPr>
            </w:pP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7"/>
        </w:trPr>
        <w:tc>
          <w:tcPr>
            <w:tcW w:w="69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6"/>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bl>
    <w:p>
      <w:pPr>
        <w:spacing w:after="0" w:line="5"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Alto Opportunity Master Fund, SPC - Segregated Master Portfolio B</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294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 xml:space="preserve">Artius Acquisition Partners LLC </w:t>
      </w:r>
      <w:r>
        <w:rPr>
          <w:rFonts w:ascii="Times New Roman" w:cs="Times New Roman" w:eastAsia="Times New Roman" w:hAnsi="Times New Roman"/>
          <w:sz w:val="23"/>
          <w:szCs w:val="23"/>
          <w:color w:val="auto"/>
          <w:vertAlign w:val="superscript"/>
        </w:rPr>
        <w:t>(2)</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The Goldman Sachs Group, Inc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702945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John Bissell</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294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Matt Plavan</w:t>
      </w:r>
      <w:r>
        <w:rPr>
          <w:rFonts w:ascii="Times New Roman" w:cs="Times New Roman" w:eastAsia="Times New Roman" w:hAnsi="Times New Roman"/>
          <w:sz w:val="23"/>
          <w:szCs w:val="23"/>
          <w:color w:val="auto"/>
          <w:vertAlign w:val="superscript"/>
        </w:rPr>
        <w:t>(5)</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Joshua Lee</w:t>
      </w:r>
      <w:r>
        <w:rPr>
          <w:rFonts w:ascii="Times New Roman" w:cs="Times New Roman" w:eastAsia="Times New Roman" w:hAnsi="Times New Roman"/>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Kathleen B. Fish</w:t>
      </w:r>
      <w:r>
        <w:rPr>
          <w:rFonts w:ascii="Times New Roman" w:cs="Times New Roman" w:eastAsia="Times New Roman" w:hAnsi="Times New Roman"/>
          <w:sz w:val="25"/>
          <w:szCs w:val="25"/>
          <w:color w:val="auto"/>
          <w:vertAlign w:val="superscript"/>
        </w:rPr>
        <w:t>(7)</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William J. Harvey</w:t>
      </w:r>
      <w:r>
        <w:rPr>
          <w:rFonts w:ascii="Times New Roman" w:cs="Times New Roman" w:eastAsia="Times New Roman" w:hAnsi="Times New Roman"/>
          <w:sz w:val="25"/>
          <w:szCs w:val="25"/>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John Hickox</w:t>
      </w:r>
      <w:r>
        <w:rPr>
          <w:rFonts w:ascii="Times New Roman" w:cs="Times New Roman" w:eastAsia="Times New Roman" w:hAnsi="Times New Roman"/>
          <w:sz w:val="25"/>
          <w:szCs w:val="25"/>
          <w:color w:val="auto"/>
          <w:vertAlign w:val="superscript"/>
        </w:rPr>
        <w:t>(9)</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Craig A. Rogerson</w:t>
      </w:r>
      <w:r>
        <w:rPr>
          <w:rFonts w:ascii="Times New Roman" w:cs="Times New Roman" w:eastAsia="Times New Roman" w:hAnsi="Times New Roman"/>
          <w:sz w:val="25"/>
          <w:szCs w:val="25"/>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Jim Stephanou</w:t>
      </w:r>
      <w:r>
        <w:rPr>
          <w:rFonts w:ascii="Times New Roman" w:cs="Times New Roman" w:eastAsia="Times New Roman" w:hAnsi="Times New Roman"/>
          <w:sz w:val="25"/>
          <w:szCs w:val="25"/>
          <w:color w:val="auto"/>
          <w:vertAlign w:val="superscript"/>
        </w:rPr>
        <w:t>(11)</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 Tony Tripeny</w:t>
      </w:r>
      <w:r>
        <w:rPr>
          <w:rFonts w:ascii="Times New Roman" w:cs="Times New Roman" w:eastAsia="Times New Roman" w:hAnsi="Times New Roman"/>
          <w:sz w:val="25"/>
          <w:szCs w:val="25"/>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2945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All executive officers and directors as a group (9 persons)</w:t>
      </w:r>
      <w:r>
        <w:rPr>
          <w:rFonts w:ascii="Times New Roman" w:cs="Times New Roman" w:eastAsia="Times New Roman" w:hAnsi="Times New Roman"/>
          <w:sz w:val="25"/>
          <w:szCs w:val="25"/>
          <w:color w:val="auto"/>
          <w:vertAlign w:val="superscript"/>
        </w:rPr>
        <w:t>(13)</w:t>
      </w:r>
    </w:p>
    <w:p>
      <w:pPr>
        <w:spacing w:after="0" w:line="27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Represents beneficial ownership of less than one percent ( 1%) of the outstanding shares of our common stock.</w:t>
      </w:r>
    </w:p>
    <w:p>
      <w:pPr>
        <w:spacing w:after="0" w:line="20" w:lineRule="exact"/>
        <w:rPr>
          <w:sz w:val="20"/>
          <w:szCs w:val="20"/>
          <w:color w:val="auto"/>
        </w:rPr>
      </w:pPr>
      <w:r>
        <w:rPr>
          <w:sz w:val="20"/>
          <w:szCs w:val="20"/>
          <w:color w:val="auto"/>
        </w:rPr>
        <w:br w:type="column"/>
      </w:r>
    </w:p>
    <w:p>
      <w:pPr>
        <w:spacing w:after="0"/>
        <w:tabs>
          <w:tab w:leader="none" w:pos="2220" w:val="left"/>
        </w:tabs>
        <w:rPr>
          <w:sz w:val="20"/>
          <w:szCs w:val="20"/>
          <w:color w:val="auto"/>
        </w:rPr>
      </w:pPr>
      <w:r>
        <w:rPr>
          <w:rFonts w:ascii="Times New Roman" w:cs="Times New Roman" w:eastAsia="Times New Roman" w:hAnsi="Times New Roman"/>
          <w:sz w:val="17"/>
          <w:szCs w:val="17"/>
          <w:color w:val="auto"/>
        </w:rPr>
        <w:t>1,696,593</w:t>
      </w:r>
      <w:r>
        <w:rPr>
          <w:sz w:val="20"/>
          <w:szCs w:val="20"/>
          <w:color w:val="auto"/>
        </w:rPr>
        <w:tab/>
      </w:r>
      <w:r>
        <w:rPr>
          <w:rFonts w:ascii="Times New Roman" w:cs="Times New Roman" w:eastAsia="Times New Roman" w:hAnsi="Times New Roman"/>
          <w:sz w:val="17"/>
          <w:szCs w:val="17"/>
          <w:color w:val="auto"/>
        </w:rPr>
        <w:t>24.4%</w:t>
      </w:r>
    </w:p>
    <w:p>
      <w:pPr>
        <w:spacing w:after="0" w:line="75"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8"/>
          <w:szCs w:val="18"/>
          <w:color w:val="auto"/>
        </w:rPr>
        <w:t>427,555</w:t>
      </w:r>
      <w:r>
        <w:rPr>
          <w:sz w:val="20"/>
          <w:szCs w:val="20"/>
          <w:color w:val="auto"/>
        </w:rPr>
        <w:tab/>
      </w:r>
      <w:r>
        <w:rPr>
          <w:rFonts w:ascii="Times New Roman" w:cs="Times New Roman" w:eastAsia="Times New Roman" w:hAnsi="Times New Roman"/>
          <w:sz w:val="18"/>
          <w:szCs w:val="18"/>
          <w:color w:val="auto"/>
        </w:rPr>
        <w:t>7.3%</w:t>
      </w:r>
    </w:p>
    <w:p>
      <w:pPr>
        <w:spacing w:after="0" w:line="63"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8"/>
          <w:szCs w:val="18"/>
          <w:color w:val="auto"/>
        </w:rPr>
        <w:t>404,261</w:t>
      </w:r>
      <w:r>
        <w:rPr>
          <w:sz w:val="20"/>
          <w:szCs w:val="20"/>
          <w:color w:val="auto"/>
        </w:rPr>
        <w:tab/>
      </w:r>
      <w:r>
        <w:rPr>
          <w:rFonts w:ascii="Times New Roman" w:cs="Times New Roman" w:eastAsia="Times New Roman" w:hAnsi="Times New Roman"/>
          <w:sz w:val="18"/>
          <w:szCs w:val="18"/>
          <w:color w:val="auto"/>
        </w:rPr>
        <w:t>7.3%</w:t>
      </w:r>
    </w:p>
    <w:p>
      <w:pPr>
        <w:spacing w:after="0" w:line="306" w:lineRule="exact"/>
        <w:rPr>
          <w:sz w:val="20"/>
          <w:szCs w:val="20"/>
          <w:color w:val="auto"/>
        </w:rPr>
      </w:pPr>
    </w:p>
    <w:p>
      <w:pPr>
        <w:ind w:left="240"/>
        <w:spacing w:after="0"/>
        <w:tabs>
          <w:tab w:leader="none" w:pos="2300" w:val="left"/>
        </w:tabs>
        <w:rPr>
          <w:sz w:val="20"/>
          <w:szCs w:val="20"/>
          <w:color w:val="auto"/>
        </w:rPr>
      </w:pPr>
      <w:r>
        <w:rPr>
          <w:rFonts w:ascii="Times New Roman" w:cs="Times New Roman" w:eastAsia="Times New Roman" w:hAnsi="Times New Roman"/>
          <w:sz w:val="18"/>
          <w:szCs w:val="18"/>
          <w:color w:val="auto"/>
        </w:rPr>
        <w:t>80,677</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22,792</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12,794</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320"/>
        <w:spacing w:after="0"/>
        <w:tabs>
          <w:tab w:leader="none" w:pos="2580" w:val="left"/>
        </w:tabs>
        <w:rPr>
          <w:sz w:val="20"/>
          <w:szCs w:val="20"/>
          <w:color w:val="auto"/>
        </w:rPr>
      </w:pPr>
      <w:r>
        <w:rPr>
          <w:rFonts w:ascii="Times New Roman" w:cs="Times New Roman" w:eastAsia="Times New Roman" w:hAnsi="Times New Roman"/>
          <w:sz w:val="18"/>
          <w:szCs w:val="18"/>
          <w:color w:val="auto"/>
        </w:rPr>
        <w:t>9,273</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10,980</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320"/>
        <w:spacing w:after="0"/>
        <w:tabs>
          <w:tab w:leader="none" w:pos="2580" w:val="left"/>
        </w:tabs>
        <w:rPr>
          <w:sz w:val="20"/>
          <w:szCs w:val="20"/>
          <w:color w:val="auto"/>
        </w:rPr>
      </w:pPr>
      <w:r>
        <w:rPr>
          <w:rFonts w:ascii="Times New Roman" w:cs="Times New Roman" w:eastAsia="Times New Roman" w:hAnsi="Times New Roman"/>
          <w:sz w:val="18"/>
          <w:szCs w:val="18"/>
          <w:color w:val="auto"/>
        </w:rPr>
        <w:t>3,698</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4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54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40"/>
        <w:spacing w:after="0"/>
        <w:tabs>
          <w:tab w:leader="none" w:pos="2580" w:val="left"/>
        </w:tabs>
        <w:rPr>
          <w:sz w:val="20"/>
          <w:szCs w:val="20"/>
          <w:color w:val="auto"/>
        </w:rPr>
      </w:pPr>
      <w:r>
        <w:rPr>
          <w:rFonts w:ascii="Times New Roman" w:cs="Times New Roman" w:eastAsia="Times New Roman" w:hAnsi="Times New Roman"/>
          <w:sz w:val="18"/>
          <w:szCs w:val="18"/>
          <w:color w:val="auto"/>
        </w:rPr>
        <w:t>13,076</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40"/>
        <w:spacing w:after="0"/>
        <w:tabs>
          <w:tab w:leader="none" w:pos="2280" w:val="left"/>
        </w:tabs>
        <w:rPr>
          <w:sz w:val="20"/>
          <w:szCs w:val="20"/>
          <w:color w:val="auto"/>
        </w:rPr>
      </w:pPr>
      <w:r>
        <w:rPr>
          <w:rFonts w:ascii="Times New Roman" w:cs="Times New Roman" w:eastAsia="Times New Roman" w:hAnsi="Times New Roman"/>
          <w:sz w:val="18"/>
          <w:szCs w:val="18"/>
          <w:color w:val="auto"/>
        </w:rPr>
        <w:t>153,290</w:t>
      </w:r>
      <w:r>
        <w:rPr>
          <w:sz w:val="20"/>
          <w:szCs w:val="20"/>
          <w:color w:val="auto"/>
        </w:rPr>
        <w:tab/>
      </w:r>
      <w:r>
        <w:rPr>
          <w:rFonts w:ascii="Times New Roman" w:cs="Times New Roman" w:eastAsia="Times New Roman" w:hAnsi="Times New Roman"/>
          <w:sz w:val="18"/>
          <w:szCs w:val="18"/>
          <w:color w:val="auto"/>
        </w:rPr>
        <w:t>2.8%</w:t>
      </w:r>
    </w:p>
    <w:p>
      <w:pPr>
        <w:spacing w:after="0" w:line="558"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p>
      <w:pPr>
        <w:jc w:val="both"/>
        <w:ind w:left="340" w:hanging="332"/>
        <w:spacing w:after="0" w:line="275" w:lineRule="auto"/>
        <w:tabs>
          <w:tab w:leader="none" w:pos="33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251,667 shares of common stock held by Alto Opportunity Master Fund, SPC- Segregated Master Portfolio B, a Cayman Islands exempted company (the “Fund”) and 1,444,926 shares of common stock issuable on the conversion of certain convertible notes (the “Notes”) held by the Fund. The Fund is a private investment vehicle for which Ayrton Capital LLC, a Delaware limited liability company (the “Investment Manager”), serves as the investment manager. Waqas Khatri serves as the managing member of the Investment Manager. The principal business address for (i) Ayrton Capital LLC, 55 Post Rd West, 2nd Floor Westport, CT 06880; (ii) Alto Opportunity Master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189" w:lineRule="exact"/>
        <w:rPr>
          <w:sz w:val="20"/>
          <w:szCs w:val="20"/>
          <w:color w:val="auto"/>
        </w:rPr>
      </w:pPr>
    </w:p>
    <w:p>
      <w:pPr>
        <w:ind w:left="332"/>
        <w:spacing w:after="0" w:line="301" w:lineRule="auto"/>
        <w:rPr>
          <w:sz w:val="20"/>
          <w:szCs w:val="20"/>
          <w:color w:val="auto"/>
        </w:rPr>
      </w:pPr>
      <w:r>
        <w:rPr>
          <w:rFonts w:ascii="Times New Roman" w:cs="Times New Roman" w:eastAsia="Times New Roman" w:hAnsi="Times New Roman"/>
          <w:sz w:val="14"/>
          <w:szCs w:val="14"/>
          <w:color w:val="auto"/>
        </w:rPr>
        <w:t>Fund, SPC - Segregated Master Portfolio B, Suite #7 Grand Pavilion Commercial Centre, 802 West Bay Road, Grand Cayman, P.O. Box 10250, Cayman Islands; and (iii) Waqas Khatri 55 Post Rd West, 2nd Floor Westport, CT 06880.</w:t>
      </w:r>
    </w:p>
    <w:p>
      <w:pPr>
        <w:spacing w:after="0" w:line="1" w:lineRule="exact"/>
        <w:rPr>
          <w:sz w:val="20"/>
          <w:szCs w:val="20"/>
          <w:color w:val="auto"/>
        </w:rPr>
      </w:pPr>
    </w:p>
    <w:p>
      <w:pPr>
        <w:jc w:val="both"/>
        <w:ind w:left="332" w:hanging="332"/>
        <w:spacing w:after="0" w:line="268" w:lineRule="auto"/>
        <w:tabs>
          <w:tab w:leader="none" w:pos="34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50,000 shares of common stock held by Artius Acquisition Partners LLC (“Arius”) and warrants to purchase 11,326,667 shares of common stock held by Artius. 30 warrants are needed to exercise for an aggregate exercise price of $345.00 to receive one share of common stock. No fractional shares will be issued upon the exercise of the warrants. Boon Sim is a founding member of Artius and can exercise voting and investment power with respect to the common stock held by Artius, and may be deemed to beneficially own such shares. The principal business address for Artius is c/o Artius Acquisition Inc., 3 Columbus Circle, Suite 2215, New York, NY 10019.</w:t>
      </w:r>
    </w:p>
    <w:p>
      <w:pPr>
        <w:spacing w:after="0" w:line="23" w:lineRule="exact"/>
        <w:rPr>
          <w:rFonts w:ascii="Times New Roman" w:cs="Times New Roman" w:eastAsia="Times New Roman" w:hAnsi="Times New Roman"/>
          <w:sz w:val="14"/>
          <w:szCs w:val="14"/>
          <w:color w:val="auto"/>
        </w:rPr>
      </w:pPr>
    </w:p>
    <w:p>
      <w:pPr>
        <w:ind w:left="332" w:hanging="332"/>
        <w:spacing w:after="0" w:line="291" w:lineRule="auto"/>
        <w:tabs>
          <w:tab w:leader="none" w:pos="34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404,261 shares of common stock held by Goldman Sachs Group, Inc. The principal business address for Goldman Sachs Group, Inc. 200 West Street New York, NY 10282 Goldman Sachs &amp; Co. LLC 200 West Street New York, NY 10282.</w:t>
      </w:r>
    </w:p>
    <w:p>
      <w:pPr>
        <w:spacing w:after="0" w:line="1" w:lineRule="exact"/>
        <w:rPr>
          <w:rFonts w:ascii="Times New Roman" w:cs="Times New Roman" w:eastAsia="Times New Roman" w:hAnsi="Times New Roman"/>
          <w:sz w:val="14"/>
          <w:szCs w:val="14"/>
          <w:color w:val="auto"/>
        </w:rPr>
      </w:pPr>
    </w:p>
    <w:p>
      <w:pPr>
        <w:ind w:left="332" w:hanging="332"/>
        <w:spacing w:after="0" w:line="271" w:lineRule="auto"/>
        <w:tabs>
          <w:tab w:leader="none" w:pos="34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48,932 shares of common stock held directly by Mr. Bissell, 31,745 shares of common stock issuable to Mr. Bissell pursuant to options exercisable within 60 days of May 22, 2026.</w:t>
      </w:r>
    </w:p>
    <w:p>
      <w:pPr>
        <w:spacing w:after="0" w:line="223"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22,792 shares of common stock held directly by Mr. Plavan.</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12,230 shares of common stock held directly by Mr. Lee and 564 shares of common stock issuable to Mr. Lee pursuant to options exercisable within 60 days of May 22, 2026.</w:t>
      </w:r>
    </w:p>
    <w:p>
      <w:pPr>
        <w:spacing w:after="0" w:line="68" w:lineRule="exact"/>
        <w:rPr>
          <w:rFonts w:ascii="Times New Roman" w:cs="Times New Roman" w:eastAsia="Times New Roman" w:hAnsi="Times New Roman"/>
          <w:sz w:val="14"/>
          <w:szCs w:val="14"/>
          <w:color w:val="auto"/>
        </w:rPr>
      </w:pPr>
    </w:p>
    <w:p>
      <w:pPr>
        <w:ind w:left="332" w:hanging="332"/>
        <w:spacing w:after="0" w:line="261" w:lineRule="auto"/>
        <w:tabs>
          <w:tab w:leader="none" w:pos="34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9,273 shares of common stock held directly by Ms. Fish, but does not include 5,763 shares of common stock that Ms. Fish has deferred for future issuance pursuant to vested RSUs.</w:t>
      </w:r>
    </w:p>
    <w:p>
      <w:pPr>
        <w:spacing w:after="0" w:line="216" w:lineRule="exact"/>
        <w:rPr>
          <w:rFonts w:ascii="Times New Roman" w:cs="Times New Roman" w:eastAsia="Times New Roman" w:hAnsi="Times New Roman"/>
          <w:sz w:val="14"/>
          <w:szCs w:val="14"/>
          <w:color w:val="auto"/>
        </w:rPr>
      </w:pPr>
    </w:p>
    <w:p>
      <w:pPr>
        <w:ind w:left="332" w:right="20" w:hanging="332"/>
        <w:spacing w:after="0" w:line="301" w:lineRule="auto"/>
        <w:tabs>
          <w:tab w:leader="none" w:pos="32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5,690 shares of common stock held directly by Mr. Harvey and 5,290 shares of common stock issuable to Mr. Harvey pursuant to options exercisable within 60 days of May 22, 2026, but does not include 5,763 shares of common stock that Mr. Harvey has deferred for future issuance pursuant to vested RSUs.</w:t>
      </w:r>
    </w:p>
    <w:p>
      <w:pPr>
        <w:spacing w:after="0" w:line="1" w:lineRule="exact"/>
        <w:rPr>
          <w:rFonts w:ascii="Times New Roman" w:cs="Times New Roman" w:eastAsia="Times New Roman" w:hAnsi="Times New Roman"/>
          <w:sz w:val="14"/>
          <w:szCs w:val="14"/>
          <w:color w:val="auto"/>
        </w:rPr>
      </w:pPr>
    </w:p>
    <w:p>
      <w:pPr>
        <w:ind w:left="332" w:right="20" w:hanging="332"/>
        <w:spacing w:after="0" w:line="291"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3,698 shares of common stock held directly by Mr. Hickox, but does not include 25,458 shares of common stock Mr. Hickox has deferred for future issuance pursuant to vested RSUs.</w:t>
      </w:r>
    </w:p>
    <w:p>
      <w:pPr>
        <w:spacing w:after="0" w:line="1"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18,692 shares of common stock that Mr. Rogerson has deferred for future issuance pursuant to vested RSUs.</w:t>
      </w:r>
    </w:p>
    <w:p>
      <w:pPr>
        <w:spacing w:after="0" w:line="68" w:lineRule="exact"/>
        <w:rPr>
          <w:rFonts w:ascii="Times New Roman" w:cs="Times New Roman" w:eastAsia="Times New Roman" w:hAnsi="Times New Roman"/>
          <w:sz w:val="14"/>
          <w:szCs w:val="14"/>
          <w:color w:val="auto"/>
        </w:rPr>
      </w:pPr>
    </w:p>
    <w:p>
      <w:pPr>
        <w:ind w:left="372" w:hanging="372"/>
        <w:spacing w:after="0"/>
        <w:tabs>
          <w:tab w:leader="none" w:pos="3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11,758 shares of common stock that Mr. Stephanou has deferred for future issuance pursuant to vested RSUs.</w:t>
      </w:r>
    </w:p>
    <w:p>
      <w:pPr>
        <w:spacing w:after="0" w:line="68" w:lineRule="exact"/>
        <w:rPr>
          <w:rFonts w:ascii="Times New Roman" w:cs="Times New Roman" w:eastAsia="Times New Roman" w:hAnsi="Times New Roman"/>
          <w:sz w:val="14"/>
          <w:szCs w:val="14"/>
          <w:color w:val="auto"/>
        </w:rPr>
      </w:pPr>
    </w:p>
    <w:p>
      <w:pPr>
        <w:ind w:left="332" w:hanging="332"/>
        <w:spacing w:after="0" w:line="301" w:lineRule="auto"/>
        <w:tabs>
          <w:tab w:leader="none" w:pos="41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10,642 shares of common stock held directly by Mr. Tripeny and 2,434 shares of common stock held by the Revocable Trust of R. Tony Tripeny, but does not include 12,809 shares of common stock that Mr. Tripeny has deferred for future issuance pursuant to vested RSUs.</w:t>
      </w:r>
    </w:p>
    <w:p>
      <w:pPr>
        <w:spacing w:after="0" w:line="1"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beneficially held by the executive officers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32"/>
          </w:cols>
          <w:pgMar w:left="328" w:top="1440" w:right="339" w:bottom="1440" w:gutter="0" w:footer="0" w:header="0"/>
        </w:sectPr>
      </w:pPr>
    </w:p>
    <w:bookmarkStart w:id="55" w:name="page56"/>
    <w:bookmarkEnd w:id="5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commenced reducing our workforce, which includes the termination of most employees by the end of the second quarter of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Origin Materials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Origin Materials. Direct your written request to Origin Materials, Inc., Attn: Corporate Secretary, at 930 Riverside Pkwy., Suite 10, West Sacramento, CA 95605. Stockholders who currently receive multiple copies of the Special Meeting materials at their addresses and would like to request “householding” of their communications should contact their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and Dividend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“ORGN”. As of May 20, 2026, there were 5,503,087 shares of common stock outstanding held by approximately 32 stockholders of record. The actual number of stockholders is greater than this number of record holders and includes stockholders who are beneficial owners, but whose shares of common stock are held in street name by banks, brokers and other nominees.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22, 2026, the latest practicable trading day before the printing of this proxy statement, the last trading price for our common stock was $1.53 per share. You are encouraged to obtain current market quotations for our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Dissolution, there will be no further market for our common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In the event that the Dissolution is not consummated, our payment of any future dividends would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we hold the 2026 annual meeting of stockholders, a stockholder may present proper proposals for inclusion in our proxy statement and for consideration at next year’s annual meeting of stockholders by submitting their proposals in writing to our Secretary in a timely manner. In addition, stockholder proposals must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the requirements of Rule 14a-8 of the Exchange Act regarding the inclusion of stockholder proposals in company-sponsored proxy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proposals should be addressed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Origin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Sacramento, California 95605</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the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the 2026 annual meeting of stockholders, our Secretary must receive the written notice at our principal executive offices not later than the tenth day following the day on which public announcement of the date of such meeting is first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1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SEC filings are available to the public at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provided on, or accessible through, our website is not part of this proxy statement, and therefore is not incorporated herein by reference.</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w:t>
      </w:r>
    </w:p>
    <w:p>
      <w:pPr>
        <w:spacing w:after="0" w:line="72" w:lineRule="exact"/>
        <w:rPr>
          <w:sz w:val="20"/>
          <w:szCs w:val="20"/>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2025, filed with the SEC on March 30, 2026; as amended by Amendment No. 1 thereto, filed with the SEC on April 29, 2026;</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2026, filed with the SEC on May 14, 2026,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12, 2026, February 18, 2026, March 10, 2026, March 19, 2026, and May 1, 2026.</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Plan of Dissolution.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person, including any beneficial owner of shares of Origin Materials common stock, to whom this proxy statement is delivered may request copies of proxy statements and any of the documents incorporated by reference in this document or other information concerning us by written or telephonic request directed to our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Origin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930 Riverside Parkway, Suite 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Sacramento, California 95605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870-1000</w:t>
      </w:r>
    </w:p>
    <w:p>
      <w:pPr>
        <w:spacing w:after="0" w:line="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have any questions concerning the Plan of Dissolution, the Dissolution, the Special Meeting or this proxy statement, would like additional copies of this proxy statement or need help voting your shares of common stock, please contact our proxy solicitor:</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 Penn Plaza, Suite 503</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5540" w:right="4540" w:hanging="993"/>
        <w:spacing w:after="0" w:line="250" w:lineRule="auto"/>
        <w:tabs>
          <w:tab w:leader="none" w:pos="49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(Call Collect)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May 26,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COMPLETE LIQUIDATION AND DISSOLUTION</w:t>
      </w:r>
    </w:p>
    <w:p>
      <w:pPr>
        <w:spacing w:after="0" w:line="9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This Plan of Complete Liquidation and Dissolution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is for the purpose of effecting the orderly liquidation and/or wind up of </w:t>
      </w:r>
      <w:r>
        <w:rPr>
          <w:rFonts w:ascii="Times New Roman" w:cs="Times New Roman" w:eastAsia="Times New Roman" w:hAnsi="Times New Roman"/>
          <w:sz w:val="18"/>
          <w:szCs w:val="18"/>
          <w:b w:val="1"/>
          <w:bCs w:val="1"/>
          <w:color w:val="auto"/>
        </w:rPr>
        <w:t>Origin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accordance with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Section 331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as follows:</w:t>
      </w:r>
    </w:p>
    <w:p>
      <w:pPr>
        <w:spacing w:after="0" w:line="6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in its reasonable business judgment that it is advisable and in the best interests of the Company and its stockholders that the Company commence an orderly liquidation and/or wind up as soon as practicable thereafter, and the Board will appoint a manager to oversee the sale of the Company’s assets and the Company’s liquidation and wind up, or any successor person(s) as the Board may later designate (the “</w:t>
      </w:r>
      <w:r>
        <w:rPr>
          <w:rFonts w:ascii="Times New Roman" w:cs="Times New Roman" w:eastAsia="Times New Roman" w:hAnsi="Times New Roman"/>
          <w:sz w:val="18"/>
          <w:szCs w:val="18"/>
          <w:b w:val="1"/>
          <w:bCs w:val="1"/>
          <w:i w:val="1"/>
          <w:iCs w:val="1"/>
          <w:color w:val="auto"/>
        </w:rPr>
        <w:t>Manager</w:t>
      </w:r>
      <w:r>
        <w:rPr>
          <w:rFonts w:ascii="Times New Roman" w:cs="Times New Roman" w:eastAsia="Times New Roman" w:hAnsi="Times New Roman"/>
          <w:sz w:val="18"/>
          <w:szCs w:val="18"/>
          <w:color w:val="auto"/>
        </w:rPr>
        <w:t>”). The Manager shall be deemed an officer of the Company for the purposes of implementing this Plan.</w:t>
      </w:r>
    </w:p>
    <w:p>
      <w:pPr>
        <w:spacing w:after="0" w:line="68" w:lineRule="exact"/>
        <w:rPr>
          <w:sz w:val="20"/>
          <w:szCs w:val="20"/>
          <w:color w:val="auto"/>
        </w:rPr>
      </w:pPr>
    </w:p>
    <w:p>
      <w:pPr>
        <w:jc w:val="both"/>
        <w:ind w:firstLine="332"/>
        <w:spacing w:after="0" w:line="257" w:lineRule="auto"/>
        <w:tabs>
          <w:tab w:leader="none" w:pos="71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of Plan. </w:t>
      </w:r>
      <w:r>
        <w:rPr>
          <w:rFonts w:ascii="Times New Roman" w:cs="Times New Roman" w:eastAsia="Times New Roman" w:hAnsi="Times New Roman"/>
          <w:sz w:val="18"/>
          <w:szCs w:val="18"/>
          <w:color w:val="auto"/>
        </w:rPr>
        <w:t>The Board has adopted resolutions deeming it advisable and in the best interests of the stockholders of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dissolve and liquidate the Company, adopt the Plan, and call an annual or special meeting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the holders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approve the dissolution and liquidation of the Company and adopt the Plan. If stockholders holding a majority of the outstanding shares of Common Stock on the record date fixed by the Board vote (the “</w:t>
      </w:r>
      <w:r>
        <w:rPr>
          <w:rFonts w:ascii="Times New Roman" w:cs="Times New Roman" w:eastAsia="Times New Roman" w:hAnsi="Times New Roman"/>
          <w:sz w:val="18"/>
          <w:szCs w:val="18"/>
          <w:b w:val="1"/>
          <w:bCs w:val="1"/>
          <w:i w:val="1"/>
          <w:iCs w:val="1"/>
          <w:color w:val="auto"/>
        </w:rPr>
        <w:t>Requisite Consent</w:t>
      </w:r>
      <w:r>
        <w:rPr>
          <w:rFonts w:ascii="Times New Roman" w:cs="Times New Roman" w:eastAsia="Times New Roman" w:hAnsi="Times New Roman"/>
          <w:sz w:val="18"/>
          <w:szCs w:val="18"/>
          <w:color w:val="auto"/>
        </w:rPr>
        <w:t>”) in favor of the proposed dissolution and liquidation of the Company and the adoption of the Plan at the Meeting, the Plan shall constitute the adopted Plan of the Company as of the date of the Meeting, or such later date on which the stockholders may approve the Plan if the Meeting is adjourned to a later date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b w:val="1"/>
          <w:bCs w:val="1"/>
          <w:color w:val="auto"/>
        </w:rPr>
      </w:pPr>
    </w:p>
    <w:p>
      <w:pPr>
        <w:ind w:left="720" w:hanging="388"/>
        <w:spacing w:after="0"/>
        <w:tabs>
          <w:tab w:leader="none" w:pos="7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Following Adoption of the Plan. </w:t>
      </w:r>
      <w:r>
        <w:rPr>
          <w:rFonts w:ascii="Times New Roman" w:cs="Times New Roman" w:eastAsia="Times New Roman" w:hAnsi="Times New Roman"/>
          <w:sz w:val="18"/>
          <w:szCs w:val="18"/>
          <w:color w:val="auto"/>
        </w:rPr>
        <w:t>From and after the Adoption Date, the Manager shall complete the following corporate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actions:</w:t>
      </w:r>
    </w:p>
    <w:p>
      <w:pPr>
        <w:spacing w:after="0" w:line="98"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63"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collect, sell, exchange or otherwise dispose of all of its remaining property and assets in one or more transactions upon such terms and conditions as the Manager, in the Manager’s absolute discretion, deems expedient and in the best interests of the Company and the stockholders and creditors of the Company, without any further vote or action by the Company’s stockholders. Approval of the proposed dissolution and adoption of the Plan by holders of a majority of the outstanding shares of Common Stock shall constitute the approval of the stockholders of the Company of the dissolution of the Company and the sale, exchange or other disposition in liquidation of all or substantially all of the property and assets of the Company pursuant to the terms hereof, whether such sale, exchange or other disposition occurs in one transaction or a series of transactions, and shall constitute ratification of all contracts for sale, exchange or other disposition which are conditioned on adoption of the Plan. It is understood that the Company will be permitted to commence the sale and disposition of any of its remaining assets as soon as possible following the adoption of this Plan by the Board and approval of this Plan by the stockholders of the Company in order to attain the highest value for any such assets and maximize value for its stockholders and creditors and, to the extent that the Company has already commenced the sale and disposition of its assets, such sales and dispositions are hereby ratified and approved. The Company’s remaining assets and properties may be sold in bulk to one buyer or a small number of buyers or on a piecemeal basis to numerous buyers. The Company will not be required to obtain appraisals, fairness opinions, or other third-party opinions as to the value of its properties and assets in connection with the liquidation. In connection with such collection, sale, exchange and other disposition, the Manager shall use reasonable efforts to collect or make provision for the collection of all accounts receivable, debts and claims owing to the Company, if any.</w:t>
      </w:r>
    </w:p>
    <w:p>
      <w:pPr>
        <w:spacing w:after="0" w:line="8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98"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shall distribute to its stockholders, in accordance with the provisions in the Company’s amended and restated certificate of incorporation, amended and restated bylaws, this Plan and the DGCL, available cash, if any, including the cash proceeds of any sale, exchange or disposition,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such cash, property or assets as are required for paying or making reasonable provision for the known liabilities and obligations of the Company (“</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distribution to the stockholders shall be made except in connection with the dissolution of the Company in accordance with Section 275 of the DGCL. Any such distribution may occur in one or a series of distributions and shall be in cash and at such time or times, as the Manager, in the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absolute discretion, may determine. If and to the extent deemed necessary, appropriate or desirable by the Manager, in the Manager’s absolute discretion, the Company may establish and set aside a reasonable amount of cash and/or property (the “</w:t>
      </w:r>
      <w:r>
        <w:rPr>
          <w:rFonts w:ascii="Times New Roman" w:cs="Times New Roman" w:eastAsia="Times New Roman" w:hAnsi="Times New Roman"/>
          <w:sz w:val="18"/>
          <w:szCs w:val="18"/>
          <w:b w:val="1"/>
          <w:bCs w:val="1"/>
          <w:i w:val="1"/>
          <w:iCs w:val="1"/>
          <w:color w:val="auto"/>
        </w:rPr>
        <w:t>Contingency Reserve</w:t>
      </w:r>
      <w:r>
        <w:rPr>
          <w:rFonts w:ascii="Times New Roman" w:cs="Times New Roman" w:eastAsia="Times New Roman" w:hAnsi="Times New Roman"/>
          <w:sz w:val="18"/>
          <w:szCs w:val="18"/>
          <w:color w:val="auto"/>
        </w:rPr>
        <w:t>”) to satisfy claims against and any unmatured or contingent liabilities and obligations of, the Company, including, without limitation, tax obligations, and all expenses of the sale of the Company’s property and assets, of the collection and defense of the Company’s property and assets, and the liquidation and dissolution provided for in this Plan.</w:t>
      </w:r>
    </w:p>
    <w:p>
      <w:pPr>
        <w:spacing w:after="0" w:line="75" w:lineRule="exact"/>
        <w:rPr>
          <w:sz w:val="20"/>
          <w:szCs w:val="20"/>
          <w:color w:val="auto"/>
        </w:rPr>
      </w:pPr>
    </w:p>
    <w:p>
      <w:pPr>
        <w:jc w:val="both"/>
        <w:ind w:firstLine="656"/>
        <w:spacing w:after="0" w:line="256" w:lineRule="auto"/>
        <w:tabs>
          <w:tab w:leader="none" w:pos="1108"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file final federal and comparable state income tax reporting forms as required by applicable law, including Internal Revenue Service Form 966, and such additional forms and reports with the Internal Revenue Service or other governmental agencies as may be necessary or appropriate in connection with the Plan and its implementation. The Manager and the Company’s other officers shall be authorized to cause the Company to make such elections for tax purposes and to take such actions as are deemed appropriate and in the best interest of the Company. The Company shall make arrangements authorizing one or more representatives or agents to maintain such Company records as may be appropriate for purposes of any tax audit of the Company occurring during the process of dissolution or after liquidation.</w:t>
      </w:r>
    </w:p>
    <w:p>
      <w:pPr>
        <w:spacing w:after="0" w:line="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Matters, Redemption and Cancellations of Stock.</w:t>
      </w:r>
    </w:p>
    <w:p>
      <w:pPr>
        <w:spacing w:after="0" w:line="121"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58"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Distributions to the stockholders of the Company pursuant to this Plan, if any, shall be in complete redemption and cancellation of all of the outstanding capital stock of the Company. As a condition to receipt of any distribution to the Company’s stockholders, the Manager, in the Manager’s absolute discretion, may require the stockholders to (i) surrender their certificates evidencing the stock to the Company or its agents for recording of such distributions thereon or (ii) furnish the Company with evidence satisfactory to the Manager of the loss, theft or destruction of its certificates evidencing the stock, together with such surety bond or other security or indemnity as may be required by and satisfactory to the Manager.</w:t>
      </w:r>
    </w:p>
    <w:p>
      <w:pPr>
        <w:spacing w:after="0" w:line="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73"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close its stock transfer books and discontinue recording transfers of shares of Common Stock on the date the Certificate of Dissolution is filed with the Secretary of State of the State of Delaware, and thereafter certificates representing shares of Common Stock of the Company will not be assignable or transferable on the books of the Company except by will, intestate succession, or operation of law.</w:t>
      </w:r>
    </w:p>
    <w:p>
      <w:pPr>
        <w:spacing w:after="0" w:line="67"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47"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and after the filing of the Certificate of Dissolution, and subject to applicable law, each holder of shares of Common Stock shall cease to have any rights in respect thereof, except the right to receive distributions, if any, pursuant to and in accordance with Section 4 hereof.</w:t>
      </w:r>
    </w:p>
    <w:p>
      <w:pPr>
        <w:spacing w:after="0" w:line="53"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123"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stockholders shall not be entitled to appraisal rights for their shares of capital stock in connection with the transactions contemplated by this Plan.</w:t>
      </w:r>
    </w:p>
    <w:p>
      <w:pPr>
        <w:spacing w:after="0" w:line="53"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27"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distribution to any stockholders cannot be made, whether because the stockholder cannot be located, has not surrendered its certificates evidencing the stock as required hereunder or for any other reason, the distribution to which such stockholder is entitled shall be transferred, at such time as the final liquidating distribution is made by the Company, to the official of such state or other jurisdiction authorized by applicable law to receive the proceeds of such distribution. The proceeds of such distribution shall thereafter be held solely for the benefit of and for ultimate distribution to such stockholder as the sole equitable owner thereof and shall be treated as abandoned property and escheat to the applicable state or other jurisdiction in accordance with applicable law. In no event shall the proceeds of any such distribution revert to or become the property of the Company.</w:t>
      </w:r>
    </w:p>
    <w:p>
      <w:pPr>
        <w:spacing w:after="0" w:line="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Liquidating Distributions; Nature; Amount; Timing.</w:t>
      </w:r>
    </w:p>
    <w:p>
      <w:pPr>
        <w:spacing w:after="0" w:line="121"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14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Board has not established a firm timetable for completion of the Company’s liquidation if the Plan is approved by the stockholders, the Company will, subject to exigencies inherent in winding up the Company’s business, complete the winding up and liquidation process as promptly as practicable. The Company plans to satisfy all of its liabilities and obligations, or make adequate provision for doing so, prior to making any distribution to its stockholders.</w:t>
      </w:r>
    </w:p>
    <w:p>
      <w:pPr>
        <w:spacing w:after="0" w:line="7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13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uncertainty of the value of the Company’s assets and the ultimate amount of its liabilities and the expenses of liquidation make it impracticable to predict the aggregate net value that may ultimately be distributable to its stockholders. The Board is currently unable to predict the precise nature, amount or timing of any such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distribution(s) pursuant to the Plan. The actual nature, amount and timing of, and record date for any such distribution(s) will be determined by the Manager, in the Manager’s sole discretion.</w:t>
      </w:r>
    </w:p>
    <w:p>
      <w:pPr>
        <w:spacing w:after="0" w:line="54" w:lineRule="exact"/>
        <w:rPr>
          <w:sz w:val="20"/>
          <w:szCs w:val="20"/>
          <w:color w:val="auto"/>
        </w:rPr>
      </w:pPr>
    </w:p>
    <w:p>
      <w:pPr>
        <w:jc w:val="both"/>
        <w:ind w:firstLine="656"/>
        <w:spacing w:after="0" w:line="261" w:lineRule="auto"/>
        <w:tabs>
          <w:tab w:leader="none" w:pos="1079"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assurance can be given that Available Cash and amounts received on the sale of assets will be adequate to provide for the Company’s obligations, liabilities, expenses and claims or to make any cash distributions to the stockholders. If such Available Cash and amounts received on the sale of assets are not adequate to provide for the Company’s obligations, liabilities, expenses and claims, distributions to the Company’s stockholders will be reduced or eliminated.</w:t>
      </w:r>
    </w:p>
    <w:p>
      <w:pPr>
        <w:spacing w:after="0" w:line="67" w:lineRule="exact"/>
        <w:rPr>
          <w:rFonts w:ascii="Times New Roman" w:cs="Times New Roman" w:eastAsia="Times New Roman" w:hAnsi="Times New Roman"/>
          <w:sz w:val="18"/>
          <w:szCs w:val="18"/>
          <w:b w:val="1"/>
          <w:bCs w:val="1"/>
          <w:color w:val="auto"/>
        </w:rPr>
      </w:pPr>
    </w:p>
    <w:p>
      <w:pPr>
        <w:jc w:val="both"/>
        <w:ind w:firstLine="332"/>
        <w:spacing w:after="0" w:line="252" w:lineRule="auto"/>
        <w:tabs>
          <w:tab w:leader="none" w:pos="71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Liquidating Trust</w:t>
      </w:r>
      <w:r>
        <w:rPr>
          <w:rFonts w:ascii="Times New Roman" w:cs="Times New Roman" w:eastAsia="Times New Roman" w:hAnsi="Times New Roman"/>
          <w:sz w:val="18"/>
          <w:szCs w:val="18"/>
          <w:color w:val="auto"/>
        </w:rPr>
        <w:t>. If deemed necessary, appropriate or desirable by the Manager, in the Manager’s absolute discretion, in furtherance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and distribution of the Company’s assets to the stockholders, as a final liquidating distribution or from time to time, the Company may transfer to one or more liquidating trustees, for the benefit of the stockholders (the “</w:t>
      </w:r>
      <w:r>
        <w:rPr>
          <w:rFonts w:ascii="Times New Roman" w:cs="Times New Roman" w:eastAsia="Times New Roman" w:hAnsi="Times New Roman"/>
          <w:sz w:val="18"/>
          <w:szCs w:val="18"/>
          <w:b w:val="1"/>
          <w:bCs w:val="1"/>
          <w:i w:val="1"/>
          <w:iCs w:val="1"/>
          <w:color w:val="auto"/>
        </w:rPr>
        <w:t>Trustees</w:t>
      </w:r>
      <w:r>
        <w:rPr>
          <w:rFonts w:ascii="Times New Roman" w:cs="Times New Roman" w:eastAsia="Times New Roman" w:hAnsi="Times New Roman"/>
          <w:sz w:val="18"/>
          <w:szCs w:val="18"/>
          <w:color w:val="auto"/>
        </w:rPr>
        <w:t>”), under a liquidating trust (the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all, or a portion, of the assets of the Company. If assets are transferred to the Trust, each stockholder shall receive an interest (an “</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xml:space="preserve">”) in the Trust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its interest in the assets of the Company on that date. All distributions from the Trust will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Interest. The Interest shall not be transferable except by operation of law or upon death of the recipient. The Manager is hereby authorized to appoint one or more individuals, corporations, partnerships or other persons, or any combination thereof, including, without limitation, any one or more officers, directors, employees, agents or representatives of the Company, to act as the initial Trustee or Trustees for the benefit of the stockholders and to receive any assets of the Company. Any Trustees appointed as provided in the preceding sentence shall succeed to all right, title and interest of the Company of any kind and character with respect to such transferred assets and, to the extent of the assets so transferred and solely in their capacity as Trustees, shall assume all of the liabilities and obligations of the Company, including, without limitation, any unsatisfied claims and unascertained or contingent liabilities. Further, any conveyance of assets to the Trustees shall be deemed to be a distribution of property and assets by the Company to the stockholders. Any such conveyance to the Trustees shall be in trust for the stockholders of the Company. The Company, as authorized by the Manager, in the Manager’s absolute discretion, may enter into a liquidating trust agreement with the Trustees, on such terms and conditions as the Manager, in the Manager’s absolute discretion, may deem necessary, appropriate or desirable. Adoption of this Plan by the holders of the requisite vote of the holders of the outstanding capital stock of the Company shall constitute the approval of the stockholders of any such appointment and any such liquidating trust agreement as their act and as a part hereof as if herein written.</w:t>
      </w:r>
    </w:p>
    <w:p>
      <w:pPr>
        <w:spacing w:after="0" w:line="85"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66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Franchise Taxes. </w:t>
      </w:r>
      <w:r>
        <w:rPr>
          <w:rFonts w:ascii="Times New Roman" w:cs="Times New Roman" w:eastAsia="Times New Roman" w:hAnsi="Times New Roman"/>
          <w:sz w:val="18"/>
          <w:szCs w:val="18"/>
          <w:color w:val="auto"/>
        </w:rPr>
        <w:t>After the Adoption Date but prior to the filing of the Certificate of Dissolution, if applicable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or as otherwise required by this Plan, the Manager shall determine and cause to be paid all franchise taxes due to or assessable by the State of Delaware including for the entire month during which the dissolution will become effective pursuant to Section 277 of the DGCL.</w:t>
      </w:r>
    </w:p>
    <w:p>
      <w:pPr>
        <w:spacing w:after="0" w:line="62" w:lineRule="exact"/>
        <w:rPr>
          <w:rFonts w:ascii="Times New Roman" w:cs="Times New Roman" w:eastAsia="Times New Roman" w:hAnsi="Times New Roman"/>
          <w:sz w:val="18"/>
          <w:szCs w:val="18"/>
          <w:b w:val="1"/>
          <w:bCs w:val="1"/>
          <w:color w:val="auto"/>
        </w:rPr>
      </w:pPr>
    </w:p>
    <w:p>
      <w:pPr>
        <w:jc w:val="both"/>
        <w:ind w:firstLine="332"/>
        <w:spacing w:after="0" w:line="255" w:lineRule="auto"/>
        <w:tabs>
          <w:tab w:leader="none" w:pos="63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w:t>
      </w:r>
      <w:r>
        <w:rPr>
          <w:rFonts w:ascii="Times New Roman" w:cs="Times New Roman" w:eastAsia="Times New Roman" w:hAnsi="Times New Roman"/>
          <w:sz w:val="18"/>
          <w:szCs w:val="18"/>
          <w:color w:val="auto"/>
        </w:rPr>
        <w:t>Following the Adoption Date and the payment of applicable franchise taxes, if (i) the Manager determines, in the Manager’s absolute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discretion, that there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sufficient proceeds to satisfy the Company’s obligations, liabilities and expenses in full (including funding any Contingency Reserve), but that dissolution is nonetheless appropriate, or (ii) as a result of the liquidation and wind up of the Company, it is determined by the Manager, in the Manager’s absolute discretion, that there </w:t>
      </w:r>
      <w:r>
        <w:rPr>
          <w:rFonts w:ascii="Times New Roman" w:cs="Times New Roman" w:eastAsia="Times New Roman" w:hAnsi="Times New Roman"/>
          <w:sz w:val="18"/>
          <w:szCs w:val="18"/>
          <w:i w:val="1"/>
          <w:iCs w:val="1"/>
          <w:color w:val="auto"/>
        </w:rPr>
        <w:t>are</w:t>
      </w:r>
      <w:r>
        <w:rPr>
          <w:rFonts w:ascii="Times New Roman" w:cs="Times New Roman" w:eastAsia="Times New Roman" w:hAnsi="Times New Roman"/>
          <w:sz w:val="18"/>
          <w:szCs w:val="18"/>
          <w:color w:val="auto"/>
        </w:rPr>
        <w:t xml:space="preserve"> sufficient proceeds to satisfy the Company’s obligations, liabilities, and expenses in full (including funding any Contingency Reserve) and to make a distribution to the stockholders, then the Manager is authorized and directed to file a Certificate of Dissolution pursuant to Section 275 of the DGCL, and to execute all other instruments and do all other things the Manager deems advisable to wind up the affairs of the Company, pursuant to the DGCL. Adoption of this Plan by the Requisite Consent shall constitute approval by the Company’s stockholders of any such filing of a Certificate of Dissolution as its act and as a part hereof as if set forth fully herein.</w:t>
      </w:r>
    </w:p>
    <w:p>
      <w:pPr>
        <w:spacing w:after="0" w:line="76" w:lineRule="exact"/>
        <w:rPr>
          <w:rFonts w:ascii="Times New Roman" w:cs="Times New Roman" w:eastAsia="Times New Roman" w:hAnsi="Times New Roman"/>
          <w:sz w:val="18"/>
          <w:szCs w:val="18"/>
          <w:b w:val="1"/>
          <w:bCs w:val="1"/>
          <w:color w:val="auto"/>
        </w:rPr>
      </w:pPr>
    </w:p>
    <w:p>
      <w:pPr>
        <w:jc w:val="both"/>
        <w:ind w:firstLine="332"/>
        <w:spacing w:after="0" w:line="257" w:lineRule="auto"/>
        <w:tabs>
          <w:tab w:leader="none" w:pos="64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 for Liabilities. </w:t>
      </w:r>
      <w:r>
        <w:rPr>
          <w:rFonts w:ascii="Times New Roman" w:cs="Times New Roman" w:eastAsia="Times New Roman" w:hAnsi="Times New Roman"/>
          <w:sz w:val="18"/>
          <w:szCs w:val="18"/>
          <w:color w:val="auto"/>
        </w:rPr>
        <w:t>In lieu of the Manager giving notice, as applicable, of any dissolution and a procedure and deadline for the presentment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claims against the Company pursuant to Section 280 of the DGCL, which notice and procedure the Board has determined not to undertake, the Manager shall, pursuant to Section 281(b) of the DGCL, pay or make reasonable provision for the Company’s known or determined liabilities, including all contingent, conditional or unmatured contractual claims known to the Company or any successor entity, (ii) shall make such provision as will be reasonably likely to be sufficient to provide compensation for any claim against the Company which is the subject of a pending action, suit or proceeding, if any, to which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Company is party, and (iii) shall make such provision as will be reasonably likely to be sufficient to provide compensation for claims that have not been made known to the Company or that have not arisen but that, based on facts known to the Company or any successor entity, are likely to arise or to become known to the Company or any successor entity within 10 years after the date of dissolution and distribute any remaining assets to the stockholders, pursuant to this Plan and Section 281 of DGCL. Such claims shall be paid in full and any such provision for payment made shall be made in full if there are sufficient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there are insufficient assets, such claims and obligations shall be paid or provided for according to their priority and, among claims of equal priority, ratably to the extent of assets legally available therefor. Notwithstanding the foregoing, the Manager may, at the Manager’s option, elect, but shall not be required, to follow the procedures for liquidating the Company set forth in Sections 280 and 281(a) of the DGCL.</w:t>
      </w:r>
    </w:p>
    <w:p>
      <w:pPr>
        <w:spacing w:after="0" w:line="77" w:lineRule="exact"/>
        <w:rPr>
          <w:sz w:val="20"/>
          <w:szCs w:val="20"/>
          <w:color w:val="auto"/>
        </w:rPr>
      </w:pPr>
    </w:p>
    <w:p>
      <w:pPr>
        <w:jc w:val="both"/>
        <w:ind w:firstLine="368"/>
        <w:spacing w:after="0" w:line="256" w:lineRule="auto"/>
        <w:tabs>
          <w:tab w:leader="none" w:pos="74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Limited Continuation of Company. </w:t>
      </w:r>
      <w:r>
        <w:rPr>
          <w:rFonts w:ascii="Times New Roman" w:cs="Times New Roman" w:eastAsia="Times New Roman" w:hAnsi="Times New Roman"/>
          <w:sz w:val="18"/>
          <w:szCs w:val="18"/>
          <w:color w:val="auto"/>
        </w:rPr>
        <w:t>Following the filing of a Certificate of Dissolution, if applicable, the Company shall not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business activities except for the period set forth in and purposes allowed by Section 278 of the DGCL, including without limitation the purpose of implementing any claims procedures, prosecuting or defending suits, liquidating, dissolving and/or winding up any and all subsidiaries of the Company, and engaging in such activities as are necessary to enable the Company to gradually settle and close its business, liquidate, dispose of and convey its property, discharge its liabilities and distribute any remaining assets to its stockholders. The Board and the officers of the Company then in office shall continue in office solely for these purposes and shall cease to be members of the Board and/or officers of the Company upon the earlier of the completion of these activities, the date of their respective resignations, or the expiration of the continuation period set forth in Section 278 of the DGCL.</w:t>
      </w:r>
    </w:p>
    <w:p>
      <w:pPr>
        <w:spacing w:after="0" w:line="74" w:lineRule="exact"/>
        <w:rPr>
          <w:rFonts w:ascii="Times New Roman" w:cs="Times New Roman" w:eastAsia="Times New Roman" w:hAnsi="Times New Roman"/>
          <w:sz w:val="18"/>
          <w:szCs w:val="18"/>
          <w:b w:val="1"/>
          <w:bCs w:val="1"/>
          <w:color w:val="auto"/>
        </w:rPr>
      </w:pPr>
    </w:p>
    <w:p>
      <w:pPr>
        <w:jc w:val="both"/>
        <w:ind w:firstLine="368"/>
        <w:spacing w:after="0" w:line="255" w:lineRule="auto"/>
        <w:tabs>
          <w:tab w:leader="none" w:pos="85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Continuing Employees and Consultants. </w:t>
      </w:r>
      <w:r>
        <w:rPr>
          <w:rFonts w:ascii="Times New Roman" w:cs="Times New Roman" w:eastAsia="Times New Roman" w:hAnsi="Times New Roman"/>
          <w:sz w:val="18"/>
          <w:szCs w:val="18"/>
          <w:color w:val="auto"/>
        </w:rPr>
        <w:t>For the purpose of effecting the dissolution of the Company and winding up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affairs, the Manager may hire or retain, in the Manager’s sole discretion, such employees, consultants and other advisors as the Manager deems necessary or advisable to accomplish such dissolution and winding up in accordance with this Plan and the DGCL, until all affairs of the Company are settled and closed. The Company may, in the absolute discretion of the Board, but subject to applicable legal and regulatory requirements, pay the Manager, the Company’s other officers, directors, employees, consultants, independent contractors, agents, advisors and representatives, or any of them, compensation or additional compensation above their regular compensation, in money or other property, as severance, bonus, or in any other form, in recognition of the extraordinary efforts they, or any of them, will be required to undertake, or actually undertake, in connection with the implementation of the Plan. Adoption of the Plan shall constitute approval of any such compensation by the stockholders of the Company.</w:t>
      </w:r>
    </w:p>
    <w:p>
      <w:pPr>
        <w:spacing w:after="0" w:line="76" w:lineRule="exact"/>
        <w:rPr>
          <w:rFonts w:ascii="Times New Roman" w:cs="Times New Roman" w:eastAsia="Times New Roman" w:hAnsi="Times New Roman"/>
          <w:sz w:val="18"/>
          <w:szCs w:val="18"/>
          <w:b w:val="1"/>
          <w:bCs w:val="1"/>
          <w:color w:val="auto"/>
        </w:rPr>
      </w:pPr>
    </w:p>
    <w:p>
      <w:pPr>
        <w:jc w:val="both"/>
        <w:ind w:firstLine="368"/>
        <w:spacing w:after="0" w:line="257" w:lineRule="auto"/>
        <w:tabs>
          <w:tab w:leader="none" w:pos="8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Liquidation. </w:t>
      </w:r>
      <w:r>
        <w:rPr>
          <w:rFonts w:ascii="Times New Roman" w:cs="Times New Roman" w:eastAsia="Times New Roman" w:hAnsi="Times New Roman"/>
          <w:sz w:val="18"/>
          <w:szCs w:val="18"/>
          <w:color w:val="auto"/>
        </w:rPr>
        <w:t>The Manager or Trustees, as applicable, shall provide, from the assets of the Company, funds for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expenses of the dissolution and winding up of the Company’s affairs, including filing fees and other costs required in connection with implementation of this Plan, any brokerage, agency and other fees and expenses of persons rendering services to the Company in connection with the collection, sale, exchange or other disposition of the Company’s property and assets, continuation of employees and/or consultants engaged in the dissolution and winding up process, accountants’ and attorneys’ fees and expenses, and other reasonable fees and expenses incurred in connection with the dissolution and winding up process.</w:t>
      </w:r>
    </w:p>
    <w:p>
      <w:pPr>
        <w:spacing w:after="0" w:line="74" w:lineRule="exact"/>
        <w:rPr>
          <w:rFonts w:ascii="Times New Roman" w:cs="Times New Roman" w:eastAsia="Times New Roman" w:hAnsi="Times New Roman"/>
          <w:sz w:val="18"/>
          <w:szCs w:val="18"/>
          <w:b w:val="1"/>
          <w:bCs w:val="1"/>
          <w:color w:val="auto"/>
        </w:rPr>
      </w:pPr>
    </w:p>
    <w:p>
      <w:pPr>
        <w:jc w:val="both"/>
        <w:ind w:firstLine="368"/>
        <w:spacing w:after="0" w:line="256" w:lineRule="auto"/>
        <w:tabs>
          <w:tab w:leader="none" w:pos="82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Modification or Abandonment of Plan</w:t>
      </w:r>
      <w:r>
        <w:rPr>
          <w:rFonts w:ascii="Times New Roman" w:cs="Times New Roman" w:eastAsia="Times New Roman" w:hAnsi="Times New Roman"/>
          <w:sz w:val="18"/>
          <w:szCs w:val="18"/>
          <w:color w:val="auto"/>
        </w:rPr>
        <w:t>. Notwithstanding stockholder approval of the Plan and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if for any reason the Board determines that such action would be in the best interest of the Company, the Board may, in its sole discretion and without requiring further stockholder approval, revoke the Plan and all action contemplated thereunder, to the extent permitted by the DGCL. To the extent permitted by the DGCL, without further action by the Company’s stockholders, at any time before or after the filing of the Certificate of Dissolution, the Board may waive, modify or amend any aspect of this Plan and may provide for exceptions to or clarifications of the terms of this Plan. The Board (and any other person or body authorized by the Board) shall also have the power and authority to interpret this Plan and to make any and all determinations necessary or advisable to apply this Plan to any event, fact or circumstance.</w:t>
      </w:r>
    </w:p>
    <w:p>
      <w:pPr>
        <w:spacing w:after="0" w:line="74" w:lineRule="exact"/>
        <w:rPr>
          <w:rFonts w:ascii="Times New Roman" w:cs="Times New Roman" w:eastAsia="Times New Roman" w:hAnsi="Times New Roman"/>
          <w:sz w:val="18"/>
          <w:szCs w:val="18"/>
          <w:b w:val="1"/>
          <w:bCs w:val="1"/>
          <w:color w:val="auto"/>
        </w:rPr>
      </w:pPr>
    </w:p>
    <w:p>
      <w:pPr>
        <w:jc w:val="both"/>
        <w:ind w:firstLine="368"/>
        <w:spacing w:after="0" w:line="268" w:lineRule="auto"/>
        <w:tabs>
          <w:tab w:leader="none" w:pos="769"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 for Continued Indemnification of Board and Officers. </w:t>
      </w:r>
      <w:r>
        <w:rPr>
          <w:rFonts w:ascii="Times New Roman" w:cs="Times New Roman" w:eastAsia="Times New Roman" w:hAnsi="Times New Roman"/>
          <w:sz w:val="18"/>
          <w:szCs w:val="18"/>
          <w:color w:val="auto"/>
        </w:rPr>
        <w:t>The Company may reserve sufficient assets and/or obtain and maintain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as shall be necessary to provide for continued indemnification of the members of the Board, the Manager, officers and agents of the Company, and other parties whom the Company has agreed to indemnify, including any Trustees, to the full extent provided by the certificate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incorporation, bylaws, any existing indemnification agreements between the Company and any of such persons, and applicable law. The Manager, in the Manager’s absolute discretion, is authorized to obtain and maintain such policies as the Manager may determine.</w:t>
      </w:r>
    </w:p>
    <w:p>
      <w:pPr>
        <w:spacing w:after="0" w:line="50" w:lineRule="exact"/>
        <w:rPr>
          <w:sz w:val="20"/>
          <w:szCs w:val="20"/>
          <w:color w:val="auto"/>
        </w:rPr>
      </w:pPr>
    </w:p>
    <w:p>
      <w:pPr>
        <w:jc w:val="both"/>
        <w:ind w:firstLine="368"/>
        <w:spacing w:after="0" w:line="259" w:lineRule="auto"/>
        <w:tabs>
          <w:tab w:leader="none" w:pos="86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Actions. </w:t>
      </w:r>
      <w:r>
        <w:rPr>
          <w:rFonts w:ascii="Times New Roman" w:cs="Times New Roman" w:eastAsia="Times New Roman" w:hAnsi="Times New Roman"/>
          <w:sz w:val="18"/>
          <w:szCs w:val="18"/>
          <w:color w:val="auto"/>
        </w:rPr>
        <w:t>The Board, the Manager and the Trustees as applicable are hereby authorized, without further action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to do and perform, or cause the officers, employees, agents and representatives of the Company to do and perform, any and all acts, and to make, execute, deliver or adopt any and all agreements, resolutions, assignments, certificates and other documents of every kind which are deemed necessary, appropriate or desirable, in the absolute discretion of the Manager or such Trustees as applicable, to implement this Plan and the transactions contemplated hereby, including, without limitation, all filings or acts required by any state or federal law or regulation to wind up the Company’s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SECTIONS 275 THROUGH 283 OF THE DGCL</w:t>
      </w:r>
    </w:p>
    <w:p>
      <w:pPr>
        <w:spacing w:after="0" w:line="95" w:lineRule="exact"/>
        <w:rPr>
          <w:sz w:val="20"/>
          <w:szCs w:val="20"/>
          <w:color w:val="auto"/>
        </w:rPr>
      </w:pPr>
    </w:p>
    <w:p>
      <w:pPr>
        <w:ind w:left="140" w:hanging="132"/>
        <w:spacing w:after="0"/>
        <w:tabs>
          <w:tab w:leader="none" w:pos="1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275. Dissolution generally; procedure.</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7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should be deemed advisable in the judgment of the board of directors of any corporation that it should be dissolved, the board, after the adoption of a resolution to that effect by a majority of the whole board at any meeting called for that purpose, shall cause notice of the adoption of the resolution and of a meeting of stockholders to take action upon the resolution to be given to each stockholder entitled to vote thereon as of the record date for determining the stockholders entitled to notice of the meeting.</w:t>
      </w:r>
    </w:p>
    <w:p>
      <w:pPr>
        <w:spacing w:after="0" w:line="71" w:lineRule="exact"/>
        <w:rPr>
          <w:rFonts w:ascii="Times New Roman" w:cs="Times New Roman" w:eastAsia="Times New Roman" w:hAnsi="Times New Roman"/>
          <w:sz w:val="18"/>
          <w:szCs w:val="18"/>
          <w:color w:val="auto"/>
        </w:rPr>
      </w:pPr>
    </w:p>
    <w:p>
      <w:pPr>
        <w:jc w:val="both"/>
        <w:ind w:firstLine="332"/>
        <w:spacing w:after="0" w:line="266" w:lineRule="auto"/>
        <w:tabs>
          <w:tab w:leader="none" w:pos="7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a vote shall be taken upon the proposed dissolution. If a majority of the outstanding stock of the corporation entitled to vote thereon shall vote for the proposed dissolution, a certification of dissolution shall be filed with the Secretary of State pursuant to subsection (d) of this section.</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of a corporation may also be authorized without action of the directors if all the stockholders entitled to vote thereon shall consent in writing and a certificate of dissolution shall be filed with the Secretary of State pursuant to subsection (d) of this section.</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8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dissolution is authorized in accordance with this section, a certificate of dissolution shall be executed, acknowledged and filed, and shall become effective, in accordance with § 103 of this title. Such certificate of dissolution shall set forth:</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dissolution was authorized;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dissolution has been authorized by the board of directors and stockholders of the corporation, in accordance with subsections (a) and</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this section, or that the dissolution has been authorized by all of the stockholders of the corporation entitled to vote on a dissolution, in accordance with subsection (c) of this section;</w:t>
      </w:r>
    </w:p>
    <w:p>
      <w:pPr>
        <w:spacing w:after="0" w:line="7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 and officers of the corporation;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filing of the corporation’s original certificate of incorporation with the Secretary of State.</w:t>
      </w:r>
    </w:p>
    <w:p>
      <w:pPr>
        <w:spacing w:after="0" w:line="117" w:lineRule="exact"/>
        <w:rPr>
          <w:rFonts w:ascii="Times New Roman" w:cs="Times New Roman" w:eastAsia="Times New Roman" w:hAnsi="Times New Roman"/>
          <w:sz w:val="18"/>
          <w:szCs w:val="18"/>
          <w:color w:val="auto"/>
        </w:rPr>
      </w:pPr>
    </w:p>
    <w:p>
      <w:pPr>
        <w:jc w:val="both"/>
        <w:ind w:firstLine="332"/>
        <w:spacing w:after="0" w:line="266" w:lineRule="auto"/>
        <w:tabs>
          <w:tab w:leader="none" w:pos="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authorizing a proposed dissolution may provide that notwithstanding authorization or consent to the proposed dissolution by the stockholders, or the members of a nonstock corporation pursuant to § 276 of this title, the board of directors or governing body may abandon such proposed dissolution without further action by the stockholders or members.</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71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set forth:</w:t>
      </w:r>
    </w:p>
    <w:p>
      <w:pPr>
        <w:spacing w:after="0" w:line="6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in the corporation’s certificate of incorporation limiting the duration of its existence;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 and officers of the corporation;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filing of the corporation’s original certificate of incorporation with the Secretary of State.</w:t>
      </w: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failure to timely file a certificate of dissolution pursuant to this subsection with respect to any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corporation’s certificate of incorporation pursuant to § 102(b)(5) of this title, such certificate of good standing shall be of no force or effect.</w:t>
      </w:r>
    </w:p>
    <w:p>
      <w:pPr>
        <w:spacing w:after="0" w:line="72"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color w:val="auto"/>
        </w:rPr>
        <w:t>A corporation shall be dissolved upon the earlier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left="1040" w:hanging="384"/>
        <w:spacing w:after="0"/>
        <w:tabs>
          <w:tab w:leader="none" w:pos="10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in such corporation’s certificate of incorporation pursuant to § 102(b)(5) of this title; or</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in accordance with § 103 of this title of a certificate of dissolution filed in accordance with this section.</w:t>
      </w:r>
    </w:p>
    <w:p>
      <w:pPr>
        <w:spacing w:after="0" w:line="11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276. Dissolution of nonstock corporation; procedure.</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53" w:lineRule="auto"/>
        <w:tabs>
          <w:tab w:leader="none" w:pos="7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it shall be desired to dissolve any nonstock corporation, the governing body shall perform all the acts necessary for dissolution which are required by § 275 of this title to be performed by the board of directors of a corporation having capital stock. If any members of a nonstock corporation are entitled to vote for the election of members of its governing body or are entitled to vote for dissolution under the certificate of incorporation or the bylaws of such corporation, such members shall perform all the acts necessary for dissolution which are contemplated by § 275 of this title to be performed by the stockholders of a corporation having capital stock, including dissolution without action of the members of the governing body if all the members of the corporation entitled to vote thereon shall consent in writing and a certificate of dissolution shall be filed with the Secretary of State pursuant to § 275(d) of this title. If there is no member entitled to vote thereon, the dissolution of the corporation shall be authorized at a meeting of the governing body, upon the adoption of a resolution to dissolve by the vote of a majority of members of its governing body then in office. In all other respects, the method and proceedings for the dissolution of a nonstock corporation shall conform as nearly as may be to the proceedings prescribed by § 275 of this title for the dissolution of corporations having capital stock.</w:t>
      </w:r>
    </w:p>
    <w:p>
      <w:pPr>
        <w:spacing w:after="0" w:line="86" w:lineRule="exact"/>
        <w:rPr>
          <w:rFonts w:ascii="Times New Roman" w:cs="Times New Roman" w:eastAsia="Times New Roman" w:hAnsi="Times New Roman"/>
          <w:sz w:val="18"/>
          <w:szCs w:val="18"/>
          <w:color w:val="auto"/>
        </w:rPr>
      </w:pPr>
    </w:p>
    <w:p>
      <w:pPr>
        <w:jc w:val="both"/>
        <w:ind w:firstLine="332"/>
        <w:spacing w:after="0" w:line="261" w:lineRule="auto"/>
        <w:tabs>
          <w:tab w:leader="none" w:pos="72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nonstock corporation has not commenced the business for which the corporation was organized, a majority of the governing body or, if none, a majority of the incorporators may surrender all of the corporation rights and franchises by filing in the office of the Secretary of State a certificate, executed and acknowledged by a majority of the incorporators or governing body, conforming as nearly as may be to the certificate prescribed by § 274 of this title.</w:t>
      </w:r>
    </w:p>
    <w:p>
      <w:pPr>
        <w:spacing w:after="0" w:line="71" w:lineRule="exact"/>
        <w:rPr>
          <w:rFonts w:ascii="Times New Roman" w:cs="Times New Roman" w:eastAsia="Times New Roman" w:hAnsi="Times New Roman"/>
          <w:sz w:val="18"/>
          <w:szCs w:val="18"/>
          <w:color w:val="auto"/>
        </w:rPr>
      </w:pPr>
    </w:p>
    <w:p>
      <w:pPr>
        <w:jc w:val="both"/>
        <w:ind w:firstLine="332"/>
        <w:spacing w:after="0" w:line="254" w:lineRule="auto"/>
        <w:tabs>
          <w:tab w:leader="none" w:pos="7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nonstock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include the information required by § 275(f) of this title. The failure to timely file a certificate of dissolution pursuant to this subsection with respect to any nonstock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nonstock corporation’s certificate of incorporation pursuant to § 102(b)(5) of this title, such certificate of good standing shall be of no force or effect.</w:t>
      </w:r>
    </w:p>
    <w:p>
      <w:pPr>
        <w:spacing w:after="0" w:line="7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277. Payment of franchise taxes before dissolution, merger, transfer or conversion.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corporation shall be dissolved, merged, transferred (without continuing its existence as a corporation of this State) or converted under this chapter until:</w:t>
      </w:r>
    </w:p>
    <w:p>
      <w:pPr>
        <w:spacing w:after="0" w:line="54" w:lineRule="exact"/>
        <w:rPr>
          <w:sz w:val="20"/>
          <w:szCs w:val="20"/>
          <w:color w:val="auto"/>
        </w:rPr>
      </w:pPr>
    </w:p>
    <w:p>
      <w:pPr>
        <w:ind w:firstLine="332"/>
        <w:spacing w:after="0" w:line="282" w:lineRule="auto"/>
        <w:tabs>
          <w:tab w:leader="none" w:pos="72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franchise taxes due to or assessable by the State including all franchise taxes due or which would be due or assessable for the entire calendar month during which such dissolution, merger, transfer or conversion becomes effective have been paid by the corporation;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1" w:lineRule="auto"/>
        <w:tabs>
          <w:tab w:leader="none" w:pos="7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annual franchise tax reports including a final annual franchise tax report for the year in which such dissolution, merger, transfer or conversion becomes effective have been filed by the corporation; notwithstanding the foregoing, if the Secretary of State certifies that an instrument to effect a dissolution, merger, transfer or conversion has been filed in the Secretary of State’s office, such corporation shall be dissolved, merged, transferred or converted at the effective time of such instrument.</w:t>
      </w:r>
    </w:p>
    <w:p>
      <w:pPr>
        <w:spacing w:after="0" w:line="6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278. Continuation of corporation after dissolution for purposes of suit and winding up affairs.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corporations, whether they expire by their own limitation or are otherwise dissolved, shall nevertheless be continued, for the term of 3 years from such expiration or dissolution or for such longer period as the Court of Chancery shall in its discretion direct, bodies corporate for the purpose of prosecuting and defending suits, whether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civil, criminal or administrative, by or against them, and of enabling them gradually to settle and close their business, to dispose of and convey their property, to discharge their liabilities and to distribute to their stockholders any remaining assets, but not for the purpose of continuing the business for which the corporation was organized. With respect to any action, suit or proceeding begun by or against the corporation either prior to or within 3 years after the date of its expiration or dissolution, the action shall not abate by reason of the dissolution of the corporation; the corporation shall, solely for the purpose of such action, suit or proceeding, be continued as a body corporate beyond the 3-year period and until any judgments, orders or decrees therein shall be fully executed, without the necessity for any special direction to that effect by the Court of Chancery.</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Sections 279 through 282 of this title shall apply to any corporation that has expired by its own limitation, and when so applied, all references in those sections to a dissolved corporation or dissolution shall include a corporation that has expired by its own limitation and to such expiration,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279. Trustees or receivers for dissolved corporations; appointment; powers; duties.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any corporation organized under this chapter shall be dissolved in any manner whatever, the Court of Chancery, on application of any creditor, stockholder or director of the corporation, or any other person who shows good cause therefor, at any time, may either appoint 1 or more of the directors of the corporation to be trustees, or appoint 1 or more persons to be receivers, of and for the corporation, to take charge of the corporation’s property, and to collect the debts and property due and belonging to the corporation, with power to prosecute and defend, in the name of the corporation, or otherwise, all such suits as may be necessary or proper for the purposes aforesaid, and to appoint an agent or agents under them, and to do all other acts which might be done by the corporation, if in being, that may be necessary for the final settlement of the unfinished business of the corporation. The powers of the trustees or receivers may be continued as long as the Court of Chancery shall think necessary for the purposes aforesaid.</w:t>
      </w:r>
    </w:p>
    <w:p>
      <w:pPr>
        <w:spacing w:after="0" w:line="77" w:lineRule="exact"/>
        <w:rPr>
          <w:sz w:val="20"/>
          <w:szCs w:val="20"/>
          <w:color w:val="auto"/>
        </w:rPr>
      </w:pPr>
    </w:p>
    <w:p>
      <w:pPr>
        <w:ind w:left="140" w:hanging="132"/>
        <w:spacing w:after="0"/>
        <w:tabs>
          <w:tab w:leader="none" w:pos="1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280. Notice to claimants; filing of claims.</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7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After a corporation has been dissolved in accordance with the procedures set forth in this chapter, the corporation or any successor entity may give notice of the dissolution, requiring all persons having a claim against the corporation other than a claim against the corporation in a pending action, suit or proceeding to which the corporation is a party to present their claims against the corporation in accordance with such notice. Such notice shall state:</w:t>
      </w:r>
    </w:p>
    <w:p>
      <w:pPr>
        <w:spacing w:after="0" w:line="68" w:lineRule="exact"/>
        <w:rPr>
          <w:sz w:val="20"/>
          <w:szCs w:val="20"/>
          <w:color w:val="auto"/>
        </w:rPr>
      </w:pPr>
    </w:p>
    <w:p>
      <w:pPr>
        <w:ind w:firstLine="332"/>
        <w:spacing w:after="0" w:line="282" w:lineRule="auto"/>
        <w:tabs>
          <w:tab w:leader="none" w:pos="6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such claims must be presented in writing and must contain sufficient information reasonably to inform the corporation or successor entity of the identity of the claimant and the substance of the claim;</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to which such a claim must be sent;</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6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by which such a claim must be received by the corporation or successor entity, which date shall be no earlier than 60 days from the date thereof;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claim will be barred if not received by the date referred to in paragraph (a)(1)c. of this section; and</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67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 or a successor entity may make distributions to other claimants and the corporation’s stockholders or persons interested as having been such without further notice to the claimant;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on an annual basis, of all distributions made by the corporation to its stockholders for each of the 3 years prior to the date the corporation dissolved.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Such notice shall also be published at least once a week for 2 consecutive weeks in a newspaper of general circulation in the county in which the office of the corporation’s last registered agent in this State is located and in the corporation’s principal place of business and, in the case of a corporation having $10,000,000 or more in total assets at the time of its dissolution, at least once in all editions of a daily newspaper with a national circulation. On or before the date of the first publication of such notice, the corporation or successor entity shall mail a copy of such notice by certified or registered mail, return receipt requested, to each known claimant of the corporation including persons with claims asserted against the corporation in a pending action, suit or proceeding to which the corporation is a party.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ind w:firstLine="332"/>
        <w:spacing w:after="0" w:line="282" w:lineRule="auto"/>
        <w:tabs>
          <w:tab w:leader="none" w:pos="73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against the corporation required to be presented pursuant to this subsection is barred if a claimant who was given actual notice under this subsection does not present the claim to the dissolved corporation or successor entity by the date referred to in paragraph (a)(1)c. of this section.</w:t>
      </w:r>
    </w:p>
    <w:p>
      <w:pPr>
        <w:spacing w:after="0" w:line="53" w:lineRule="exact"/>
        <w:rPr>
          <w:rFonts w:ascii="Times New Roman" w:cs="Times New Roman" w:eastAsia="Times New Roman" w:hAnsi="Times New Roman"/>
          <w:sz w:val="18"/>
          <w:szCs w:val="18"/>
          <w:color w:val="auto"/>
        </w:rPr>
      </w:pPr>
    </w:p>
    <w:p>
      <w:pPr>
        <w:jc w:val="both"/>
        <w:ind w:firstLine="332"/>
        <w:spacing w:after="0" w:line="255" w:lineRule="auto"/>
        <w:tabs>
          <w:tab w:leader="none" w:pos="7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successor entity may reject, in whole or in part, any claim made by a claimant pursuant to this subsection by mailing notice of such rejection by certified or registered mail, return receipt requested, to the claimant within 90 days after receipt of such claim and, in all events, at least 150 days before the expiration of the period described in § 278 of this title; provided however, that in the case of a claim filed pursuant to § 295 of this title against a corporation or successor entity for which a receiver or trustee has been appointed by the Court of Chancery the time period shall be as provided in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1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of this title, and the 30-day appeal period provided for in § 296 of this title shall be applicable. A notice sent by a corporation or successor entity pursuant to this subsection shall state that any claim rejected therein will be barred if an action, suit or proceeding with respect to the claim is not commenced within 120 days of the date thereof, and shall be accompanied by a copy of §§ 278-283 of this title and, in the case of a notice sent by a court-appointed receiver or trustee and as to which a claim has been filed pursuant to § 295 of this title, copies of §§ 295 and 296 of this title.</w:t>
      </w:r>
    </w:p>
    <w:p>
      <w:pPr>
        <w:spacing w:after="0" w:line="80" w:lineRule="exact"/>
        <w:rPr>
          <w:rFonts w:ascii="Times New Roman" w:cs="Times New Roman" w:eastAsia="Times New Roman" w:hAnsi="Times New Roman"/>
          <w:sz w:val="18"/>
          <w:szCs w:val="18"/>
          <w:color w:val="auto"/>
        </w:rPr>
      </w:pPr>
    </w:p>
    <w:p>
      <w:pPr>
        <w:ind w:firstLine="332"/>
        <w:spacing w:after="0" w:line="282" w:lineRule="auto"/>
        <w:tabs>
          <w:tab w:leader="none" w:pos="73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against a corporation is barred if a claimant whose claim is rejected pursuant to paragraph (a)(3) of this section does not commence an action, suit or proceeding with respect to the claim no later than 120 days after the mailing of the rejection notice.</w:t>
      </w:r>
    </w:p>
    <w:p>
      <w:pPr>
        <w:spacing w:after="0" w:line="54" w:lineRule="exact"/>
        <w:rPr>
          <w:sz w:val="20"/>
          <w:szCs w:val="20"/>
          <w:color w:val="auto"/>
        </w:rPr>
      </w:pPr>
    </w:p>
    <w:p>
      <w:pPr>
        <w:jc w:val="both"/>
        <w:ind w:firstLine="332"/>
        <w:spacing w:after="0" w:line="256" w:lineRule="auto"/>
        <w:tabs>
          <w:tab w:leader="none" w:pos="7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corporation or successor entity electing to follow the procedures described in subsection (a) of this section shall also give notice of the dissolution of the corporation to persons with contractual claims contingent upon the occurrence or nonoccurrence of future events or otherwise conditional or unmatured, and request that such persons present such claims in accordance with the terms of such notice. Provided however, that as used in this section and in § 281 of this title, the term “contractual claims” shall not include any implied warranty as to any product manufactured, sold, distributed or handled by the dissolved corporation. Such notice shall be in substantially the form, and sent and published in the same manner, as described in paragraph (a)(1) of this section.</w:t>
      </w:r>
    </w:p>
    <w:p>
      <w:pPr>
        <w:spacing w:after="0" w:line="79" w:lineRule="exact"/>
        <w:rPr>
          <w:sz w:val="20"/>
          <w:szCs w:val="20"/>
          <w:color w:val="auto"/>
        </w:rPr>
      </w:pPr>
    </w:p>
    <w:p>
      <w:pPr>
        <w:jc w:val="both"/>
        <w:ind w:firstLine="332"/>
        <w:spacing w:after="0" w:line="256" w:lineRule="auto"/>
        <w:tabs>
          <w:tab w:leader="none" w:pos="7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successor entity shall offer any claimant on a contract whose claim is contingent, conditional or unmatured such security as the corporation or successor entity determines is sufficient to provide compensation to the claimant if the claim matures. The corporation or successor entity shall mail such offer to the claimant by certified or registered mail, return receipt requested, within 90 days of receipt of such claim and, in all events, at least 150 days before the expiration of the period described in § 278 of this title. If the claimant offered such security does not deliver in writing to the corporation or successor entity a notice rejecting the offer within 120 days after receipt of such offer for security, the claimant shall be deemed to have accepted such security as the sole source from which to satisfy the claim against the corporation.</w:t>
      </w:r>
    </w:p>
    <w:p>
      <w:pPr>
        <w:spacing w:after="0" w:line="79" w:lineRule="exact"/>
        <w:rPr>
          <w:sz w:val="20"/>
          <w:szCs w:val="20"/>
          <w:color w:val="auto"/>
        </w:rPr>
      </w:pPr>
    </w:p>
    <w:p>
      <w:pPr>
        <w:jc w:val="both"/>
        <w:ind w:firstLine="332"/>
        <w:spacing w:after="0" w:line="261"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corporation or successor entity which has given notice in accordance with subsection (a) of this section shall petition the Court of Chancery to determine the amount and form of security that will be reasonably likely to be sufficient to provide compensation for any claim against the corporation which is the subject of a pending action, suit or proceeding to which the corporation is a party other than a claim barred pursuant to subsection (a) of this section.</w:t>
      </w:r>
    </w:p>
    <w:p>
      <w:pPr>
        <w:spacing w:after="0" w:line="72" w:lineRule="exact"/>
        <w:rPr>
          <w:sz w:val="20"/>
          <w:szCs w:val="20"/>
          <w:color w:val="auto"/>
        </w:rPr>
      </w:pPr>
    </w:p>
    <w:p>
      <w:pPr>
        <w:jc w:val="both"/>
        <w:ind w:firstLine="332"/>
        <w:spacing w:after="0" w:line="266" w:lineRule="auto"/>
        <w:tabs>
          <w:tab w:leader="none" w:pos="7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successor entity which has given notice in accordance with subsections (a) and (b) of this section shall petition the Court of Chancery to determine the amount and form of security that will be sufficient to provide compensation to any claimant who has rejected the offer for security made pursuant to paragraph (b)(2) of this section.</w:t>
      </w:r>
    </w:p>
    <w:p>
      <w:pPr>
        <w:spacing w:after="0" w:line="67" w:lineRule="exact"/>
        <w:rPr>
          <w:rFonts w:ascii="Times New Roman" w:cs="Times New Roman" w:eastAsia="Times New Roman" w:hAnsi="Times New Roman"/>
          <w:sz w:val="18"/>
          <w:szCs w:val="18"/>
          <w:color w:val="auto"/>
        </w:rPr>
      </w:pPr>
    </w:p>
    <w:p>
      <w:pPr>
        <w:jc w:val="both"/>
        <w:ind w:firstLine="332"/>
        <w:spacing w:after="0" w:line="255"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successor entity which has given notice in accordance with subsection (a) of this section shall petition the Court of Chancery to determine the amount and form of security which will 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5 years after the date of dissolution or such longer period of time as the Court of Chancery may determine not to exceed 10 years after the date of dissolution. The Court of Chancery may appoint a guardian ad litem in respect of any such proceeding brought under this subsection. The reasonable fees and expenses of such guardian, including all reasonable expert witness fees, shall be paid by the petitioner in such proceeding.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ind w:firstLine="332"/>
        <w:spacing w:after="0" w:line="266" w:lineRule="auto"/>
        <w:tabs>
          <w:tab w:leader="none" w:pos="73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notice or making of any offer pursuant to this section shall not revive any claim then barred or constitute acknowledgment by the corporation or successor entity that any person to whom such notice is sent is a proper claimant and shall not operate as a waiver of any defense or counterclaim in respect of any claim asserted by any person to whom such notice is sent.</w:t>
      </w:r>
    </w:p>
    <w:p>
      <w:pPr>
        <w:spacing w:after="0" w:line="67" w:lineRule="exact"/>
        <w:rPr>
          <w:rFonts w:ascii="Times New Roman" w:cs="Times New Roman" w:eastAsia="Times New Roman" w:hAnsi="Times New Roman"/>
          <w:sz w:val="18"/>
          <w:szCs w:val="18"/>
          <w:color w:val="auto"/>
        </w:rPr>
      </w:pPr>
    </w:p>
    <w:p>
      <w:pPr>
        <w:jc w:val="both"/>
        <w:ind w:firstLine="332"/>
        <w:spacing w:after="0" w:line="258" w:lineRule="auto"/>
        <w:tabs>
          <w:tab w:leader="none" w:pos="71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the term “successor entity” shall include any trust, receivership or other legal entity governed by the laws of this State to which the remaining assets and liabilities of a dissolved corporation are transferred and which exists solely for the purposes of prosecuting and defending suits, by or against the dissolved corporation, enabling the dissolved corporation to settle and close the business of the dissolved corporation, to dispose of and convey the property of the dissolved corporation, to discharge the liabilities of the dissolved corporation and to distribute to the dissolved corporation’s stockholders any remaining assets, but not for the purpose of continuing the business for which the dissolved corporation was organized.</w:t>
      </w:r>
    </w:p>
    <w:p>
      <w:pPr>
        <w:spacing w:after="0" w:line="75" w:lineRule="exact"/>
        <w:rPr>
          <w:rFonts w:ascii="Times New Roman" w:cs="Times New Roman" w:eastAsia="Times New Roman" w:hAnsi="Times New Roman"/>
          <w:sz w:val="18"/>
          <w:szCs w:val="18"/>
          <w:color w:val="auto"/>
        </w:rPr>
      </w:pPr>
    </w:p>
    <w:p>
      <w:pPr>
        <w:ind w:right="20" w:firstLine="332"/>
        <w:spacing w:after="0" w:line="282" w:lineRule="auto"/>
        <w:tabs>
          <w:tab w:leader="none" w:pos="7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periods and notice requirements of this section shall, in the case of a corporation or successor entity for which a receiver or trustee has been appointed by the Court of Chancery, be subject to variation by, or in the manner provided in, the Rules of the Court of Chancery.</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71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nonstock corporation, any notice referred to in the last sentence of paragraph (a)(3) of this section shall include a copy of § 114 of this title.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spacing w:after="0" w:line="6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 Payment and distribution to claimants and stockholders.</w:t>
      </w:r>
    </w:p>
    <w:p>
      <w:pPr>
        <w:spacing w:after="0" w:line="121" w:lineRule="exact"/>
        <w:rPr>
          <w:rFonts w:ascii="Times New Roman" w:cs="Times New Roman" w:eastAsia="Times New Roman" w:hAnsi="Times New Roman"/>
          <w:sz w:val="18"/>
          <w:szCs w:val="18"/>
          <w:b w:val="1"/>
          <w:bCs w:val="1"/>
          <w:color w:val="auto"/>
        </w:rPr>
      </w:pPr>
    </w:p>
    <w:p>
      <w:pPr>
        <w:ind w:left="700" w:hanging="368"/>
        <w:spacing w:after="0"/>
        <w:tabs>
          <w:tab w:leader="none" w:pos="7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dissolved corporation or successor entity which has followed the procedures described in § 280 of this title:</w:t>
      </w:r>
    </w:p>
    <w:p>
      <w:pPr>
        <w:spacing w:after="0" w:line="117" w:lineRule="exact"/>
        <w:rPr>
          <w:sz w:val="20"/>
          <w:szCs w:val="20"/>
          <w:color w:val="auto"/>
        </w:rPr>
      </w:pPr>
    </w:p>
    <w:p>
      <w:pPr>
        <w:ind w:left="720" w:hanging="388"/>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pay the claims made and not rejected in accordance with § 280(a) of this title,</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post the security offered and not rejected pursuant to § 280(b)(2) of this title,</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post any security ordered by the Court of Chancery in any proceeding under § 280(c) of this title, and</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73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pay or make provision for all other claims that are mature, known and uncontested or that have been finally determined to be owing by the corporation or such successor entity.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claims or obligations shall be paid in full and any such provision for payment shall be made in full if there are sufficient assets. If there are insufficient assets, such claims and obligations shall be paid or provided for according to their priority, and, among claims of equal priority, ratably to the extent of assets legally available therefor. Any remaining assets shall be distributed to the stockholders of the dissolved corporation; provided, however, that such distribution shall not be made before the expiration of 150 days from the date of the last notice of rejections given pursuant to § 280(a)(3) of this title. In the absence of actual fraud, the judgment of the directors of the dissolved corporation or the governing persons of such successor entity as to the provision made for the payment of all obligations under paragraph (a)(4) of this section shall be conclusive.</w:t>
      </w:r>
    </w:p>
    <w:p>
      <w:pPr>
        <w:spacing w:after="0" w:line="79" w:lineRule="exact"/>
        <w:rPr>
          <w:sz w:val="20"/>
          <w:szCs w:val="20"/>
          <w:color w:val="auto"/>
        </w:rPr>
      </w:pPr>
    </w:p>
    <w:p>
      <w:pPr>
        <w:jc w:val="both"/>
        <w:ind w:firstLine="332"/>
        <w:spacing w:after="0" w:line="254" w:lineRule="auto"/>
        <w:tabs>
          <w:tab w:leader="none" w:pos="7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dissolved corporation or successor entity which has not followed the procedures described in § 280 of this title shall, prior to the expiration of the period described in § 278 of this title, adopt a plan of distribution pursuant to which the dissolved corporation or successor entity (i) shall pay or make reasonable provision to pay all claims and obligations, including all contingent, conditional or unmatured contractual claims known to the corporation or such successor entity, (ii) shall make such provision as will be reasonably likely to be sufficient to provide compensation for any claim against the corporation which is the subject of a pending action, suit or proceeding to which the corporation is a party and (iii) shall make such provision as will be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10 years after the date of dissolution. The plan of distribution shall provide that such claims shall be paid in full and any such provision for payment made shall be made in full if there are sufficient assets. If there are insufficient assets, such plan shall provide that such claims and obligations shall be paid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provided for according to their priority and, among claims of equal priority, ratably to the extent of assets legally available therefor. Any remaining assets shall be distributed to the stockholders of the dissolved corporation.</w:t>
      </w:r>
    </w:p>
    <w:p>
      <w:pPr>
        <w:spacing w:after="0" w:line="54" w:lineRule="exact"/>
        <w:rPr>
          <w:sz w:val="20"/>
          <w:szCs w:val="20"/>
          <w:color w:val="auto"/>
        </w:rPr>
      </w:pPr>
    </w:p>
    <w:p>
      <w:pPr>
        <w:ind w:right="20" w:firstLine="332"/>
        <w:spacing w:after="0" w:line="282" w:lineRule="auto"/>
        <w:tabs>
          <w:tab w:leader="none" w:pos="71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dissolved corporation or governing persons of a successor entity which has complied with subsection (a) or (b) of this section shall not be personally liable to the claimants of the dissolved corporation.</w:t>
      </w:r>
    </w:p>
    <w:p>
      <w:pPr>
        <w:spacing w:after="0" w:line="53"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the term “successor entity” has the meaning set forth in § 280(e) of this title.</w:t>
      </w:r>
    </w:p>
    <w:p>
      <w:pPr>
        <w:spacing w:after="0" w:line="117" w:lineRule="exact"/>
        <w:rPr>
          <w:rFonts w:ascii="Times New Roman" w:cs="Times New Roman" w:eastAsia="Times New Roman" w:hAnsi="Times New Roman"/>
          <w:sz w:val="18"/>
          <w:szCs w:val="18"/>
          <w:color w:val="auto"/>
        </w:rPr>
      </w:pPr>
    </w:p>
    <w:p>
      <w:pPr>
        <w:ind w:firstLine="332"/>
        <w:spacing w:after="0" w:line="282" w:lineRule="auto"/>
        <w:tabs>
          <w:tab w:leader="none" w:pos="71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“priority,” as used in this section, does not refer either to the order of payments set forth in paragraph (a) (1)-(4) of this section or to the relative times at which any claims mature or are reduced to judgment.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73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spacing w:after="0" w:line="4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282. Liability of stockholders of dissolved corporations.</w:t>
      </w:r>
    </w:p>
    <w:p>
      <w:pPr>
        <w:spacing w:after="0" w:line="12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73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of a dissolved corporation the assets of which were distributed pursuant to § 281(a) or (b) of this title shall not be liable for any claim against the corporation in an amount in excess of such stockholder’s pro rata share of the claim or the amount so distributed to such stockholder, whichever is less.</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4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of a dissolved corporation the assets of which were distributed pursuant to § 281(a) of this title shall not be liable for any claim against the corporation on which an action, suit or proceeding is not begun prior to the expiration of the period described in § 278 of this title.</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7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liability of any stockholder of a dissolved corporation for claims against the dissolved corporation shall not exceed the amount distributed to such stockholder in dissolution.</w:t>
      </w:r>
    </w:p>
    <w:p>
      <w:pPr>
        <w:spacing w:after="0" w:line="4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283. Jurisdiction.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Court of Chancery shall have jurisdiction of any application prescribed in this subchapter and of all questions arising in the proceedings thereon, and may make such orders and decrees and issue injunctions therein as justice and equity shall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240"/>
          </w:cols>
          <w:pgMar w:left="320" w:top="1440" w:right="339" w:bottom="1440"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831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3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883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834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o"/>
      <w:numFmt w:val="bullet"/>
      <w:start w:val="1"/>
    </w:lvl>
  </w:abstractNum>
  <w:abstractNum w:abstractNumId="1">
    <w:nsid w:val="419AC241"/>
    <w:multiLevelType w:val="hybridMultilevel"/>
    <w:lvl w:ilvl="0">
      <w:lvlJc w:val="left"/>
      <w:lvlText w:val="x"/>
      <w:numFmt w:val="bullet"/>
      <w:start w:val="1"/>
    </w:lvl>
  </w:abstractNum>
  <w:abstractNum w:abstractNumId="2">
    <w:nsid w:val="5577F8E1"/>
    <w:multiLevelType w:val="hybridMultilevel"/>
    <w:lvl w:ilvl="0">
      <w:lvlJc w:val="left"/>
      <w:lvlText w:val="o"/>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212"/>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212"/>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5"/>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2"/>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212"/>
    </w:lvl>
  </w:abstractNum>
  <w:abstractNum w:abstractNumId="42">
    <w:nsid w:val="23F9C13C"/>
    <w:multiLevelType w:val="hybridMultilevel"/>
    <w:lvl w:ilvl="0">
      <w:lvlJc w:val="left"/>
      <w:lvlText w:val="%1."/>
      <w:numFmt w:val="decimal"/>
      <w:start w:val="1"/>
    </w:lvl>
    <w:lvl w:ilvl="1">
      <w:lvlJc w:val="left"/>
      <w:lvlText w:val="(%2)"/>
      <w:numFmt w:val="lowerLetter"/>
      <w:start w:val="1"/>
    </w:lvl>
  </w:abstractNum>
  <w:abstractNum w:abstractNumId="43">
    <w:nsid w:val="649BB77C"/>
    <w:multiLevelType w:val="hybridMultilevel"/>
    <w:lvl w:ilvl="0">
      <w:lvlJc w:val="left"/>
      <w:lvlText w:val="%1"/>
      <w:numFmt w:val="decimal"/>
      <w:start w:val="1"/>
    </w:lvl>
    <w:lvl w:ilvl="1">
      <w:lvlJc w:val="left"/>
      <w:lvlText w:val="(%2)"/>
      <w:numFmt w:val="lowerLetter"/>
      <w:start w:val="3"/>
    </w:lvl>
  </w:abstractNum>
  <w:abstractNum w:abstractNumId="44">
    <w:nsid w:val="275AC794"/>
    <w:multiLevelType w:val="hybridMultilevel"/>
    <w:lvl w:ilvl="0">
      <w:lvlJc w:val="left"/>
      <w:lvlText w:val="%1."/>
      <w:numFmt w:val="decimal"/>
      <w:start w:val="3"/>
    </w:lvl>
    <w:lvl w:ilvl="1">
      <w:lvlJc w:val="left"/>
      <w:lvlText w:val="(%2)"/>
      <w:numFmt w:val="lowerLetter"/>
      <w:start w:val="1"/>
    </w:lvl>
  </w:abstractNum>
  <w:abstractNum w:abstractNumId="45">
    <w:nsid w:val="39386575"/>
    <w:multiLevelType w:val="hybridMultilevel"/>
    <w:lvl w:ilvl="0">
      <w:lvlJc w:val="left"/>
      <w:lvlText w:val="%1"/>
      <w:numFmt w:val="decimal"/>
      <w:start w:val="1"/>
    </w:lvl>
    <w:lvl w:ilvl="1">
      <w:lvlJc w:val="left"/>
      <w:lvlText w:val="(%2)"/>
      <w:numFmt w:val="lowerLetter"/>
      <w:start w:val="3"/>
    </w:lvl>
  </w:abstractNum>
  <w:abstractNum w:abstractNumId="46">
    <w:nsid w:val="1CF10FD8"/>
    <w:multiLevelType w:val="hybridMultilevel"/>
    <w:lvl w:ilvl="0">
      <w:lvlJc w:val="left"/>
      <w:lvlText w:val="%1."/>
      <w:numFmt w:val="decimal"/>
      <w:start w:val="5"/>
    </w:lvl>
    <w:lvl w:ilvl="1">
      <w:lvlJc w:val="left"/>
      <w:lvlText w:val="%2"/>
      <w:numFmt w:val="lowerLetter"/>
      <w:start w:val="1"/>
    </w:lvl>
  </w:abstractNum>
  <w:abstractNum w:abstractNumId="47">
    <w:nsid w:val="180115BE"/>
    <w:multiLevelType w:val="hybridMultilevel"/>
    <w:lvl w:ilvl="0">
      <w:lvlJc w:val="left"/>
      <w:lvlText w:val="%1."/>
      <w:numFmt w:val="decimal"/>
      <w:start w:val="9"/>
    </w:lvl>
  </w:abstractNum>
  <w:abstractNum w:abstractNumId="48">
    <w:nsid w:val="235BA861"/>
    <w:multiLevelType w:val="hybridMultilevel"/>
    <w:lvl w:ilvl="0">
      <w:lvlJc w:val="left"/>
      <w:lvlText w:val="%1."/>
      <w:numFmt w:val="decimal"/>
      <w:start w:val="14"/>
    </w:lvl>
  </w:abstractNum>
  <w:abstractNum w:abstractNumId="49">
    <w:nsid w:val="47398C89"/>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50">
    <w:nsid w:val="354FE9F9"/>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51">
    <w:nsid w:val="15B5AF5C"/>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52">
    <w:nsid w:val="741226BB"/>
    <w:multiLevelType w:val="hybridMultilevel"/>
    <w:lvl w:ilvl="0">
      <w:lvlJc w:val="left"/>
      <w:lvlText w:val="§"/>
      <w:numFmt w:val="bullet"/>
      <w:start w:val="1"/>
    </w:lvl>
    <w:lvl w:ilvl="1">
      <w:lvlJc w:val="left"/>
      <w:lvlText w:val="(%2)"/>
      <w:numFmt w:val="decimal"/>
      <w:start w:val="1"/>
    </w:lvl>
  </w:abstractNum>
  <w:abstractNum w:abstractNumId="53">
    <w:nsid w:val="D34B6A8"/>
    <w:multiLevelType w:val="hybridMultilevel"/>
    <w:lvl w:ilvl="0">
      <w:lvlJc w:val="left"/>
      <w:lvlText w:val="§"/>
      <w:numFmt w:val="bullet"/>
      <w:start w:val="1"/>
    </w:lvl>
    <w:lvl w:ilvl="1">
      <w:lvlJc w:val="left"/>
      <w:lvlText w:val="(%2)"/>
      <w:numFmt w:val="lowerLetter"/>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
      <w:numFmt w:val="bullet"/>
      <w:start w:val="1"/>
    </w:lvl>
    <w:lvl w:ilvl="1">
      <w:lvlJc w:val="left"/>
      <w:lvlText w:val="(%2)"/>
      <w:numFmt w:val="decimal"/>
      <w:start w:val="2"/>
    </w:lvl>
  </w:abstractNum>
  <w:abstractNum w:abstractNumId="56">
    <w:nsid w:val="61574095"/>
    <w:multiLevelType w:val="hybridMultilevel"/>
    <w:lvl w:ilvl="0">
      <w:lvlJc w:val="left"/>
      <w:lvlText w:val="§"/>
      <w:numFmt w:val="bullet"/>
      <w:start w:val="1"/>
    </w:lvl>
    <w:lvl w:ilvl="1">
      <w:lvlJc w:val="left"/>
      <w:lvlText w:val="(%2)"/>
      <w:numFmt w:val="decimal"/>
      <w:start w:val="4"/>
    </w:lvl>
  </w:abstractNum>
  <w:abstractNum w:abstractNumId="57">
    <w:nsid w:val="7E0C57B1"/>
    <w:multiLevelType w:val="hybridMultilevel"/>
    <w:lvl w:ilvl="0">
      <w:lvlJc w:val="left"/>
      <w:lvlText w:val="(%1)"/>
      <w:numFmt w:val="lowerLetter"/>
      <w:start w:val="2"/>
    </w:lvl>
  </w:abstractNum>
  <w:abstractNum w:abstractNumId="58">
    <w:nsid w:val="77AE35EB"/>
    <w:multiLevelType w:val="hybridMultilevel"/>
    <w:lvl w:ilvl="0">
      <w:lvlJc w:val="left"/>
      <w:lvlText w:val="(%1)"/>
      <w:numFmt w:val="decimal"/>
      <w:start w:val="2"/>
    </w:lvl>
  </w:abstractNum>
  <w:abstractNum w:abstractNumId="59">
    <w:nsid w:val="579BE4F1"/>
    <w:multiLevelType w:val="hybridMultilevel"/>
    <w:lvl w:ilvl="0">
      <w:lvlJc w:val="left"/>
      <w:lvlText w:val="(%1)"/>
      <w:numFmt w:val="lowerLetter"/>
      <w:start w:val="3"/>
    </w:lvl>
  </w:abstractNum>
  <w:abstractNum w:abstractNumId="60">
    <w:nsid w:val="310C50B3"/>
    <w:multiLevelType w:val="hybridMultilevel"/>
    <w:lvl w:ilvl="0">
      <w:lvlJc w:val="left"/>
      <w:lvlText w:val="(%1)"/>
      <w:numFmt w:val="decimal"/>
      <w:start w:val="2"/>
    </w:lvl>
  </w:abstractNum>
  <w:abstractNum w:abstractNumId="61">
    <w:nsid w:val="5FF87E05"/>
    <w:multiLevelType w:val="hybridMultilevel"/>
    <w:lvl w:ilvl="0">
      <w:lvlJc w:val="left"/>
      <w:lvlText w:val="§"/>
      <w:numFmt w:val="bullet"/>
      <w:start w:val="1"/>
    </w:lvl>
    <w:lvl w:ilvl="1">
      <w:lvlJc w:val="left"/>
      <w:lvlText w:val="(%2)"/>
      <w:numFmt w:val="lowerLetter"/>
      <w:start w:val="4"/>
    </w:lvl>
  </w:abstractNum>
  <w:abstractNum w:abstractNumId="62">
    <w:nsid w:val="2F305DEF"/>
    <w:multiLevelType w:val="hybridMultilevel"/>
    <w:lvl w:ilvl="0">
      <w:lvlJc w:val="left"/>
      <w:lvlText w:val="§"/>
      <w:numFmt w:val="bullet"/>
      <w:start w:val="1"/>
    </w:lvl>
    <w:lvl w:ilvl="1">
      <w:lvlJc w:val="left"/>
      <w:lvlText w:val="(%2)"/>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2"/>
    </w:lvl>
  </w:abstractNum>
  <w:abstractNum w:abstractNumId="65">
    <w:nsid w:val="4AD084E9"/>
    <w:multiLevelType w:val="hybridMultilevel"/>
    <w:lvl w:ilvl="0">
      <w:lvlJc w:val="left"/>
      <w:lvlText w:val="§"/>
      <w:numFmt w:val="bullet"/>
      <w:start w:val="1"/>
    </w:lvl>
    <w:lvl w:ilvl="1">
      <w:lvlJc w:val="left"/>
      <w:lvlText w:val="(%2)"/>
      <w:numFmt w:val="lowerLetter"/>
      <w:start w:val="3"/>
    </w:lvl>
  </w:abstractNum>
  <w:abstractNum w:abstractNumId="66">
    <w:nsid w:val="1F48EAA1"/>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2026-05-26T16:06:07Z</dcterms:created>
  <dcterms:modified xsi:type="dcterms:W3CDTF">2026-05-26T16:06:07Z</dcterms:modified>
</cp:coreProperties>
</file>